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128.25pt;margin-top:619.9pt;height:40.75pt;width:167.85pt;z-index:251667456;mso-width-relative:page;mso-height-relative:page;" filled="f" stroked="f" coordsize="21600,21600" o:gfxdata="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XMNuXcAAAADQEAAA8AAAAAAAAAAQAgAAAAIgAAAGRycy9kb3ducmV2LnhtbFBL&#10;AQIUABQAAAAIAIdO4kDxxTSgKwIAACQEAAAOAAAAAAAAAAEAIAAAACsBAABkcnMvZTJvRG9jLnht&#10;bFBLBQYAAAAABgAGAFkBAADIBQAAAAA=&#10;">
            <v:path/>
            <v:fill on="f" focussize="0,0"/>
            <v:stroke on="f" weight="0.5pt" joinstyle="miter"/>
            <v:imagedata o:title=""/>
            <o:lock v:ext="edit"/>
            <v:textbox>
              <w:txbxContent>
                <w:p>
                  <w:pPr>
                    <w:jc w:val="center"/>
                    <w:rPr>
                      <w:rFonts w:ascii="楷体_GB2312" w:hAnsi="楷体_GB2312" w:eastAsia="楷体_GB2312" w:cs="楷体_GB2312"/>
                      <w:sz w:val="44"/>
                      <w:szCs w:val="52"/>
                    </w:rPr>
                  </w:pPr>
                  <w:r>
                    <w:rPr>
                      <w:rFonts w:hint="eastAsia" w:ascii="楷体_GB2312" w:hAnsi="楷体_GB2312" w:eastAsia="楷体_GB2312" w:cs="楷体_GB2312"/>
                      <w:sz w:val="44"/>
                      <w:szCs w:val="52"/>
                    </w:rPr>
                    <w:t>2021年11月</w:t>
                  </w:r>
                </w:p>
              </w:txbxContent>
            </v:textbox>
          </v:shape>
        </w:pict>
      </w:r>
      <w:r>
        <w:drawing>
          <wp:anchor distT="0" distB="0" distL="114300" distR="114300" simplePos="0" relativeHeight="251660288" behindDoc="1" locked="0" layoutInCell="1" allowOverlap="1">
            <wp:simplePos x="0" y="0"/>
            <wp:positionH relativeFrom="column">
              <wp:posOffset>-997585</wp:posOffset>
            </wp:positionH>
            <wp:positionV relativeFrom="paragraph">
              <wp:posOffset>-1360170</wp:posOffset>
            </wp:positionV>
            <wp:extent cx="7592060" cy="10739755"/>
            <wp:effectExtent l="0" t="0" r="12700" b="4445"/>
            <wp:wrapNone/>
            <wp:docPr id="4" name="图片 4" descr="决算封面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决算封面无"/>
                    <pic:cNvPicPr>
                      <a:picLocks noChangeAspect="1"/>
                    </pic:cNvPicPr>
                  </pic:nvPicPr>
                  <pic:blipFill>
                    <a:blip r:embed="rId13" cstate="print"/>
                    <a:stretch>
                      <a:fillRect/>
                    </a:stretch>
                  </pic:blipFill>
                  <pic:spPr>
                    <a:xfrm>
                      <a:off x="0" y="0"/>
                      <a:ext cx="7592060" cy="10739755"/>
                    </a:xfrm>
                    <a:prstGeom prst="rect">
                      <a:avLst/>
                    </a:prstGeom>
                  </pic:spPr>
                </pic:pic>
              </a:graphicData>
            </a:graphic>
          </wp:anchor>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rPr>
        <w:t>邯郸市农业科学院</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二〇二一年十一月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w:t>
      </w:r>
      <w:r>
        <w:rPr>
          <w:rFonts w:hint="eastAsia" w:ascii="Times New Roman" w:hAnsi="Times New Roman" w:eastAsia="黑体" w:cs="Times New Roman"/>
          <w:sz w:val="32"/>
          <w:szCs w:val="32"/>
        </w:rPr>
        <w:t>度</w:t>
      </w:r>
      <w:r>
        <w:rPr>
          <w:rFonts w:ascii="Times New Roman" w:hAnsi="Times New Roman" w:eastAsia="黑体" w:cs="Times New Roman"/>
          <w:sz w:val="32"/>
          <w:szCs w:val="32"/>
        </w:rPr>
        <w:t>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1312;v-text-anchor:middle;mso-width-relative:page;mso-height-relative:page;" fillcolor="#7F7F7F" filled="t" stroked="t" coordsize="21600,21600" o:gfxdata="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OCXofcAAAADQEAAA8A&#10;AAAAAAAAAQAgAAAAIgAAAGRycy9kb3ducmV2LnhtbFBLAQIUABQAAAAIAIdO4kCVxoSdhQIAACMF&#10;AAAOAAAAAAAAAAEAIAAAACsBAABkcnMvZTJvRG9jLnhtbFBLBQYAAAAABgAGAFkBAAAiBgAAAAA=&#10;">
            <v:path/>
            <v:fill type="pattern" on="t" color2="#FFFFFF" o:title="image2" focussize="0,0" r:id="rId14"/>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hd w:val="clear" w:color="auto" w:fill="FFFFFF"/>
        <w:spacing w:line="300" w:lineRule="auto"/>
        <w:ind w:firstLine="640" w:firstLineChars="200"/>
        <w:rPr>
          <w:rFonts w:eastAsia="仿宋_GB2312"/>
          <w:sz w:val="32"/>
          <w:szCs w:val="32"/>
        </w:rPr>
      </w:pPr>
      <w:r>
        <w:rPr>
          <w:rFonts w:eastAsia="仿宋_GB2312"/>
          <w:sz w:val="32"/>
          <w:szCs w:val="32"/>
        </w:rPr>
        <w:t>邯郸市农业科学院，是全市唯一的综合性农业科研单位，主要</w:t>
      </w:r>
      <w:r>
        <w:rPr>
          <w:rFonts w:hint="eastAsia" w:eastAsia="仿宋_GB2312"/>
          <w:sz w:val="32"/>
          <w:szCs w:val="32"/>
        </w:rPr>
        <w:t>负责</w:t>
      </w:r>
      <w:r>
        <w:rPr>
          <w:rFonts w:eastAsia="仿宋_GB2312"/>
          <w:sz w:val="32"/>
          <w:szCs w:val="32"/>
        </w:rPr>
        <w:t>小麦、玉米、棉花、大豆等农作物</w:t>
      </w:r>
      <w:r>
        <w:rPr>
          <w:rFonts w:hint="eastAsia" w:eastAsia="仿宋_GB2312"/>
          <w:sz w:val="32"/>
          <w:szCs w:val="32"/>
        </w:rPr>
        <w:t>种质资源创新及利用</w:t>
      </w:r>
      <w:r>
        <w:rPr>
          <w:rFonts w:eastAsia="仿宋_GB2312"/>
          <w:sz w:val="32"/>
          <w:szCs w:val="32"/>
        </w:rPr>
        <w:t>；</w:t>
      </w:r>
      <w:r>
        <w:rPr>
          <w:rFonts w:hint="eastAsia" w:eastAsia="仿宋_GB2312"/>
          <w:sz w:val="32"/>
          <w:szCs w:val="32"/>
        </w:rPr>
        <w:t>开展农田资源高效利用、有害生物控制、农业生物技术及良种培育、农作物高效栽培等实用技术研究。</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Times New Roman" w:eastAsia="仿宋_GB2312" w:cs="Wingdings"/>
          <w:sz w:val="32"/>
          <w:szCs w:val="32"/>
        </w:rPr>
        <w:t>2</w:t>
      </w:r>
      <w:r>
        <w:rPr>
          <w:rFonts w:hint="eastAsia" w:ascii="仿宋_GB2312" w:hAnsi="Calibri" w:eastAsia="仿宋_GB2312" w:cs="Arial Black"/>
          <w:kern w:val="0"/>
          <w:sz w:val="32"/>
          <w:szCs w:val="32"/>
        </w:rPr>
        <w:t>个，具体情况如下：</w:t>
      </w:r>
    </w:p>
    <w:tbl>
      <w:tblPr>
        <w:tblStyle w:val="7"/>
        <w:tblpPr w:leftFromText="180" w:rightFromText="180" w:vertAnchor="text" w:horzAnchor="page" w:tblpXSpec="center" w:tblpY="10"/>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17"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969"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1985"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198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7"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969"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邯郸市农业</w:t>
            </w:r>
            <w:r>
              <w:rPr>
                <w:rFonts w:ascii="仿宋_GB2312" w:hAnsi="Calibri" w:eastAsia="仿宋_GB2312" w:cs="Arial Black"/>
                <w:kern w:val="0"/>
                <w:sz w:val="28"/>
                <w:szCs w:val="28"/>
              </w:rPr>
              <w:t>科学院（机关）</w:t>
            </w:r>
          </w:p>
        </w:tc>
        <w:tc>
          <w:tcPr>
            <w:tcW w:w="1985"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财政补助事业单位</w:t>
            </w:r>
          </w:p>
        </w:tc>
        <w:tc>
          <w:tcPr>
            <w:tcW w:w="1984"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7"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969"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邯郸市农业科学院附属试验场</w:t>
            </w:r>
          </w:p>
        </w:tc>
        <w:tc>
          <w:tcPr>
            <w:tcW w:w="1985"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财政补助事业单位</w:t>
            </w:r>
          </w:p>
        </w:tc>
        <w:tc>
          <w:tcPr>
            <w:tcW w:w="1984" w:type="dxa"/>
          </w:tcPr>
          <w:p>
            <w:pPr>
              <w:spacing w:line="560" w:lineRule="exact"/>
              <w:jc w:val="center"/>
              <w:rPr>
                <w:rFonts w:ascii="仿宋_GB2312" w:hAnsi="Calibri" w:eastAsia="仿宋_GB2312" w:cs="Arial Black"/>
                <w:kern w:val="0"/>
                <w:sz w:val="28"/>
                <w:szCs w:val="28"/>
              </w:rPr>
            </w:pPr>
            <w:r>
              <w:rPr>
                <w:rFonts w:ascii="仿宋_GB2312" w:hAnsi="Calibri" w:eastAsia="仿宋_GB2312" w:cs="Arial Black"/>
                <w:kern w:val="0"/>
                <w:sz w:val="28"/>
                <w:szCs w:val="28"/>
              </w:rPr>
              <w:t>财政性资金定额或定项补助</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336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80.95pt;margin-top:-207.65pt;height:263.1pt;width:613.65pt;z-index:251664384;v-text-anchor:middle;mso-width-relative:page;mso-height-relative:page;" fillcolor="#7F7F7F" filled="t" stroked="t" coordsize="21600,21600" o:gfxdata="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sg6ANwAAAAOAQAADwAA&#10;AAAAAAABACAAAAAiAAAAZHJzL2Rvd25yZXYueG1sUEsBAhQAFAAAAAgAh07iQFOWLHKEAgAAHwUA&#10;AA4AAAAAAAAAAQAgAAAAKwEAAGRycy9lMm9Eb2MueG1sUEsFBgAAAAAGAAYAWQEAACEGAAAAAA==&#10;">
            <v:path/>
            <v:fill type="pattern" on="t" color2="#FFFFFF" o:title="image2"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2020年度部门决算情况说明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rPr>
        <w:t>本部门2020年度收、支总计（含结转和结余）4769.69万元。与2019年度决算相比，收支各减少239.11万元，下降4.77%，主要是</w:t>
      </w:r>
      <w:r>
        <w:rPr>
          <w:rFonts w:hint="eastAsia" w:ascii="仿宋_GB2312" w:hAnsi="Times New Roman" w:eastAsia="仿宋_GB2312" w:cs="DengXian-Regular"/>
          <w:sz w:val="32"/>
          <w:szCs w:val="32"/>
          <w:highlight w:val="none"/>
        </w:rPr>
        <w:t>承担的部分项目结题</w:t>
      </w:r>
      <w:r>
        <w:rPr>
          <w:rFonts w:hint="eastAsia" w:ascii="仿宋_GB2312" w:hAnsi="Times New Roman" w:eastAsia="仿宋_GB2312" w:cs="Wingdings"/>
          <w:sz w:val="32"/>
          <w:szCs w:val="32"/>
          <w:highlight w:val="none"/>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59264" behindDoc="1" locked="0" layoutInCell="1" allowOverlap="1">
            <wp:simplePos x="0" y="0"/>
            <wp:positionH relativeFrom="column">
              <wp:posOffset>744220</wp:posOffset>
            </wp:positionH>
            <wp:positionV relativeFrom="paragraph">
              <wp:posOffset>62230</wp:posOffset>
            </wp:positionV>
            <wp:extent cx="4157980" cy="2273300"/>
            <wp:effectExtent l="0" t="0" r="0" b="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outlineLvl w:val="1"/>
        <w:rPr>
          <w:rFonts w:ascii="黑体" w:hAnsi="Calibri" w:eastAsia="黑体" w:cs="Times New Roman"/>
          <w:sz w:val="32"/>
          <w:szCs w:val="32"/>
        </w:rPr>
      </w:pPr>
    </w:p>
    <w:p>
      <w:pPr>
        <w:keepNext/>
        <w:keepLines/>
        <w:tabs>
          <w:tab w:val="left" w:pos="6799"/>
        </w:tab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r>
        <w:rPr>
          <w:rFonts w:ascii="黑体" w:hAnsi="Calibri" w:eastAsia="黑体" w:cs="Times New Roman"/>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本部门2020年度收入合计3608.97万元，其中：财政拨款收入3038.14万元，占84.18%；事业收入27万元，占0.75%；其他收入543.83万元，占15.07%。如图所示：</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9504" behindDoc="1" locked="0" layoutInCell="1" allowOverlap="1">
            <wp:simplePos x="0" y="0"/>
            <wp:positionH relativeFrom="column">
              <wp:posOffset>748030</wp:posOffset>
            </wp:positionH>
            <wp:positionV relativeFrom="paragraph">
              <wp:posOffset>52705</wp:posOffset>
            </wp:positionV>
            <wp:extent cx="4432300" cy="2560320"/>
            <wp:effectExtent l="19050" t="0" r="25593" b="0"/>
            <wp:wrapNone/>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tabs>
          <w:tab w:val="left" w:pos="3769"/>
        </w:tabs>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ind w:firstLine="640" w:firstLineChars="200"/>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r>
        <w:rPr>
          <w:rFonts w:ascii="仿宋_GB2312" w:hAnsi="Times New Roman" w:eastAsia="仿宋_GB2312" w:cs="Wingdings"/>
          <w:sz w:val="32"/>
          <w:szCs w:val="32"/>
        </w:rPr>
        <w:pict>
          <v:shape id="文本框 32" o:spid="_x0000_s1045" o:spt="202" type="#_x0000_t202" style="position:absolute;left:0pt;margin-left:105.35pt;margin-top:26.35pt;height:29.35pt;width:267.85pt;z-index:251668480;mso-width-relative:page;mso-height-relative:page;"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jc w:val="center"/>
                    <w:rPr>
                      <w:rFonts w:ascii="楷体_GB2312" w:hAnsi="楷体_GB2312" w:eastAsia="楷体_GB2312" w:cs="楷体_GB2312"/>
                      <w:sz w:val="24"/>
                    </w:rPr>
                  </w:pPr>
                  <w:r>
                    <w:rPr>
                      <w:rFonts w:hint="eastAsia" w:ascii="楷体_GB2312" w:hAnsi="楷体_GB2312" w:eastAsia="楷体_GB2312" w:cs="楷体_GB2312"/>
                      <w:sz w:val="24"/>
                    </w:rPr>
                    <w:t>图2：收入决算构成情况</w:t>
                  </w:r>
                </w:p>
                <w:p>
                  <w:pPr>
                    <w:spacing w:after="160"/>
                    <w:rPr>
                      <w:rFonts w:ascii="楷体_GB2312" w:hAnsi="楷体_GB2312" w:eastAsia="楷体_GB2312" w:cs="楷体_GB2312"/>
                      <w:sz w:val="18"/>
                      <w:szCs w:val="22"/>
                    </w:rPr>
                  </w:pPr>
                </w:p>
              </w:txbxContent>
            </v:textbox>
          </v:shape>
        </w:pict>
      </w:r>
    </w:p>
    <w:p>
      <w:pPr>
        <w:snapToGrid w:val="0"/>
        <w:spacing w:line="600" w:lineRule="exact"/>
        <w:ind w:firstLine="640" w:firstLineChars="200"/>
        <w:outlineLvl w:val="1"/>
        <w:rPr>
          <w:rFonts w:hint="eastAsia" w:ascii="黑体" w:hAnsi="Calibri" w:eastAsia="黑体" w:cs="Times New Roman"/>
          <w:sz w:val="32"/>
          <w:szCs w:val="32"/>
        </w:rPr>
      </w:pPr>
    </w:p>
    <w:p>
      <w:pPr>
        <w:snapToGrid w:val="0"/>
        <w:spacing w:line="600" w:lineRule="exact"/>
        <w:ind w:firstLine="640" w:firstLineChars="200"/>
        <w:outlineLvl w:val="1"/>
        <w:rPr>
          <w:rFonts w:ascii="黑体" w:hAnsi="Calibri" w:eastAsia="黑体" w:cs="Times New Roman"/>
          <w:sz w:val="32"/>
          <w:szCs w:val="32"/>
        </w:rPr>
      </w:pPr>
      <w:bookmarkStart w:id="0" w:name="_GoBack"/>
      <w:bookmarkEnd w:id="0"/>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本部门2020年度支出合计3701.07万元，其中：基本支出2124.82万元，占57.41%；项目支出1576.26万元，占42.59%。如图所示：</w:t>
      </w:r>
    </w:p>
    <w:p>
      <w:pPr>
        <w:adjustRightInd w:val="0"/>
        <w:snapToGrid w:val="0"/>
        <w:spacing w:line="600" w:lineRule="exact"/>
        <w:ind w:firstLine="1920" w:firstLineChars="600"/>
        <w:rPr>
          <w:rFonts w:ascii="仿宋_GB2312" w:hAnsi="Times New Roman" w:eastAsia="仿宋_GB2312" w:cs="Wingdings"/>
          <w:sz w:val="32"/>
          <w:szCs w:val="32"/>
        </w:rPr>
      </w:pPr>
      <w:r>
        <w:rPr>
          <w:rFonts w:ascii="仿宋_GB2312" w:hAnsi="Times New Roman" w:eastAsia="仿宋_GB2312" w:cs="Wingdings"/>
          <w:sz w:val="32"/>
          <w:szCs w:val="32"/>
        </w:rPr>
        <w:drawing>
          <wp:anchor distT="0" distB="0" distL="114300" distR="114300" simplePos="0" relativeHeight="251670528" behindDoc="0" locked="0" layoutInCell="1" allowOverlap="1">
            <wp:simplePos x="0" y="0"/>
            <wp:positionH relativeFrom="column">
              <wp:posOffset>962660</wp:posOffset>
            </wp:positionH>
            <wp:positionV relativeFrom="paragraph">
              <wp:posOffset>21590</wp:posOffset>
            </wp:positionV>
            <wp:extent cx="4632325" cy="3005455"/>
            <wp:effectExtent l="1905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600" w:lineRule="exact"/>
        <w:ind w:firstLine="1920" w:firstLineChars="600"/>
        <w:rPr>
          <w:rFonts w:ascii="仿宋_GB2312" w:hAnsi="Times New Roman" w:eastAsia="仿宋_GB2312" w:cs="Wingdings"/>
          <w:sz w:val="32"/>
          <w:szCs w:val="32"/>
        </w:rPr>
      </w:pPr>
    </w:p>
    <w:p>
      <w:pPr>
        <w:adjustRightInd w:val="0"/>
        <w:snapToGrid w:val="0"/>
        <w:spacing w:line="600" w:lineRule="exact"/>
        <w:ind w:firstLine="1920" w:firstLineChars="600"/>
        <w:rPr>
          <w:rFonts w:ascii="仿宋_GB2312" w:hAnsi="Times New Roman" w:eastAsia="仿宋_GB2312" w:cs="Wingding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3" w:firstLineChars="200"/>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rPr>
        <w:t>本部门2020年度财政拨款收入3038.14万元,比2019年度增加443.19万元，增长17.08%，</w:t>
      </w:r>
      <w:r>
        <w:rPr>
          <w:rFonts w:hint="eastAsia" w:ascii="仿宋_GB2312" w:hAnsi="Times New Roman" w:eastAsia="仿宋_GB2312" w:cs="Wingdings"/>
          <w:sz w:val="32"/>
          <w:szCs w:val="32"/>
          <w:highlight w:val="none"/>
        </w:rPr>
        <w:t>主要是人员经费、科研项目经费与基础设施配套经费增加；本年支出3131.76万元，比2019年度增加484.72万元，增长18.31%，主要是人员经费与项目支出增加。具体情况如下：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highlight w:val="none"/>
        </w:rPr>
      </w:pPr>
      <w:r>
        <w:rPr>
          <w:rFonts w:hint="eastAsia" w:ascii="仿宋_GB2312" w:hAnsi="Times New Roman" w:eastAsia="仿宋_GB2312" w:cs="Wingdings"/>
          <w:sz w:val="32"/>
          <w:szCs w:val="32"/>
          <w:highlight w:val="none"/>
        </w:rPr>
        <w:t>一般公共预算财政拨款本年收入2922.14万元，比2019年度增加327.19万元，增长11.20%，主要是人员经费与科研项目经费增加；本年支出3131.76万元，比2019年度</w:t>
      </w:r>
      <w:r>
        <w:rPr>
          <w:rFonts w:hint="eastAsia" w:ascii="仿宋_GB2312" w:hAnsi="Times New Roman" w:eastAsia="仿宋_GB2312" w:cs="Wingdings"/>
          <w:sz w:val="32"/>
          <w:szCs w:val="32"/>
        </w:rPr>
        <w:t>增加484.72万元，增长18.31%，</w:t>
      </w:r>
      <w:r>
        <w:rPr>
          <w:rFonts w:hint="eastAsia" w:ascii="仿宋_GB2312" w:hAnsi="Times New Roman" w:eastAsia="仿宋_GB2312" w:cs="Wingdings"/>
          <w:sz w:val="32"/>
          <w:szCs w:val="32"/>
          <w:highlight w:val="none"/>
        </w:rPr>
        <w:t>主要是人员经费与项目支出经费增加。</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highlight w:val="none"/>
        </w:rPr>
        <w:t>政府性基金预算财政拨款本年收入116万元，比201</w:t>
      </w:r>
      <w:r>
        <w:rPr>
          <w:rFonts w:hint="eastAsia" w:ascii="仿宋_GB2312" w:hAnsi="Times New Roman" w:eastAsia="仿宋_GB2312" w:cs="Wingdings"/>
          <w:sz w:val="32"/>
          <w:szCs w:val="32"/>
        </w:rPr>
        <w:t>9年度增加116万元，主要原因是科研中心项目工程尾款经费增加；本年支出0万元，与2019年度决算持平。</w:t>
      </w:r>
    </w:p>
    <w:p>
      <w:pPr>
        <w:adjustRightInd w:val="0"/>
        <w:snapToGrid w:val="0"/>
        <w:spacing w:line="600" w:lineRule="exact"/>
        <w:ind w:left="640"/>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71552" behindDoc="0" locked="0" layoutInCell="1" allowOverlap="1">
            <wp:simplePos x="0" y="0"/>
            <wp:positionH relativeFrom="column">
              <wp:posOffset>183515</wp:posOffset>
            </wp:positionH>
            <wp:positionV relativeFrom="paragraph">
              <wp:posOffset>118110</wp:posOffset>
            </wp:positionV>
            <wp:extent cx="5457825" cy="3445510"/>
            <wp:effectExtent l="19050" t="0" r="9525" b="2264"/>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600" w:lineRule="exact"/>
        <w:ind w:left="640"/>
        <w:rPr>
          <w:rFonts w:ascii="仿宋_GB2312" w:hAnsi="Times New Roman" w:eastAsia="仿宋_GB2312" w:cs="Wingdings"/>
          <w:sz w:val="32"/>
          <w:szCs w:val="32"/>
        </w:rPr>
      </w:pPr>
    </w:p>
    <w:p>
      <w:pPr>
        <w:adjustRightInd w:val="0"/>
        <w:snapToGrid w:val="0"/>
        <w:spacing w:line="600" w:lineRule="exact"/>
        <w:ind w:left="640"/>
        <w:rPr>
          <w:rFonts w:ascii="仿宋_GB2312" w:hAnsi="Times New Roman" w:eastAsia="仿宋_GB2312" w:cs="Wingdings"/>
          <w:sz w:val="32"/>
          <w:szCs w:val="32"/>
        </w:rPr>
      </w:pPr>
    </w:p>
    <w:p>
      <w:pPr>
        <w:adjustRightInd w:val="0"/>
        <w:snapToGrid w:val="0"/>
        <w:spacing w:line="600" w:lineRule="exact"/>
        <w:ind w:left="640"/>
        <w:rPr>
          <w:rFonts w:ascii="仿宋_GB2312" w:hAnsi="Times New Roman" w:eastAsia="仿宋_GB2312" w:cs="Wingding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楷体_GB2312" w:hAnsi="Times New Roman" w:eastAsia="楷体_GB2312" w:cs="Mongolian Baiti"/>
          <w:b/>
          <w:bCs/>
          <w:sz w:val="32"/>
          <w:szCs w:val="32"/>
        </w:rPr>
      </w:pP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本部门2020年度财政拨款收入3038.14万元，完成年初预算的123.94%,比年初预算增加586.79万元，主要是增加的人员经费、</w:t>
      </w:r>
      <w:r>
        <w:rPr>
          <w:rFonts w:hint="eastAsia" w:ascii="仿宋_GB2312" w:hAnsi="Times New Roman" w:eastAsia="仿宋_GB2312" w:cs="Wingdings"/>
          <w:sz w:val="32"/>
          <w:szCs w:val="32"/>
          <w:highlight w:val="none"/>
        </w:rPr>
        <w:t>基础设施配套经费；本年支出3131.76万元，完成年初预算的127.76%,比年初预算增加680.41万元，主要是增加的人员经费支出、科研项目支出。</w:t>
      </w:r>
      <w:r>
        <w:rPr>
          <w:rFonts w:hint="eastAsia" w:ascii="仿宋_GB2312" w:hAnsi="Times New Roman" w:eastAsia="仿宋_GB2312" w:cs="Wingdings"/>
          <w:sz w:val="32"/>
          <w:szCs w:val="32"/>
        </w:rPr>
        <w:t>具体情况如下：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一般公共预算财政拨款本年收入完成年初预算119.21%，比年初预算增加470.79万元，</w:t>
      </w:r>
      <w:r>
        <w:rPr>
          <w:rFonts w:hint="eastAsia" w:ascii="仿宋_GB2312" w:hAnsi="Times New Roman" w:eastAsia="仿宋_GB2312" w:cs="Wingdings"/>
          <w:sz w:val="32"/>
          <w:szCs w:val="32"/>
          <w:highlight w:val="none"/>
        </w:rPr>
        <w:t>主要是增加的人员经费；支出完成年初预算127.76%，比年初预算增加680.41万元，主要是增加的人员经费支出、科研项目支出</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政府性基金预算财政拨款本年收入比年初预算增加116万元，主要是科研中心项目工程尾款经费增加；支出为0，与年初预算持平。</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72576" behindDoc="1" locked="0" layoutInCell="1" allowOverlap="1">
            <wp:simplePos x="0" y="0"/>
            <wp:positionH relativeFrom="column">
              <wp:posOffset>140970</wp:posOffset>
            </wp:positionH>
            <wp:positionV relativeFrom="paragraph">
              <wp:posOffset>111760</wp:posOffset>
            </wp:positionV>
            <wp:extent cx="5341620" cy="3691890"/>
            <wp:effectExtent l="19050" t="0" r="11348" b="4059"/>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adjustRightInd w:val="0"/>
        <w:snapToGrid w:val="0"/>
        <w:spacing w:line="600" w:lineRule="exact"/>
        <w:rPr>
          <w:rFonts w:ascii="仿宋_GB2312" w:hAnsi="Times New Roman" w:eastAsia="仿宋_GB2312" w:cs="Wingdings"/>
          <w:sz w:val="32"/>
          <w:szCs w:val="32"/>
        </w:rPr>
      </w:pP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 xml:space="preserve">2020年度财政拨款支出3131.76万元， 主要用于以下方面：科学技术支出2589.16万元，占 82.67%；社会保障和就业支出 271.39万元，占8.67%； </w:t>
      </w:r>
      <w:r>
        <w:rPr>
          <w:rFonts w:hint="eastAsia" w:ascii="仿宋_GB2312" w:hAnsi="Times New Roman" w:eastAsia="仿宋_GB2312" w:cs="DengXian-Regular"/>
          <w:sz w:val="32"/>
          <w:szCs w:val="32"/>
        </w:rPr>
        <w:t>卫生健康支出159.08万元，占5.08%；</w:t>
      </w:r>
      <w:r>
        <w:rPr>
          <w:rFonts w:hint="eastAsia" w:ascii="仿宋_GB2312" w:hAnsi="Times New Roman" w:eastAsia="仿宋_GB2312" w:cs="Wingdings"/>
          <w:sz w:val="32"/>
          <w:szCs w:val="32"/>
        </w:rPr>
        <w:t>住房保障支出112.13万元，占 3.58%。</w:t>
      </w:r>
    </w:p>
    <w:p>
      <w:pPr>
        <w:adjustRightInd w:val="0"/>
        <w:snapToGrid w:val="0"/>
        <w:spacing w:line="600" w:lineRule="exact"/>
        <w:rPr>
          <w:rFonts w:ascii="楷体_GB2312" w:hAnsi="Times New Roman" w:eastAsia="楷体_GB2312" w:cs="Mongolian Baiti"/>
          <w:b/>
          <w:bCs/>
          <w:sz w:val="32"/>
          <w:szCs w:val="32"/>
        </w:rPr>
      </w:pPr>
      <w:r>
        <w:rPr>
          <w:rFonts w:ascii="楷体_GB2312" w:hAnsi="Times New Roman" w:eastAsia="楷体_GB2312" w:cs="Mongolian Baiti"/>
          <w:b/>
          <w:bCs/>
          <w:sz w:val="32"/>
          <w:szCs w:val="32"/>
        </w:rPr>
        <w:drawing>
          <wp:anchor distT="0" distB="0" distL="114300" distR="114300" simplePos="0" relativeHeight="251673600" behindDoc="0" locked="0" layoutInCell="1" allowOverlap="1">
            <wp:simplePos x="0" y="0"/>
            <wp:positionH relativeFrom="column">
              <wp:posOffset>156845</wp:posOffset>
            </wp:positionH>
            <wp:positionV relativeFrom="paragraph">
              <wp:posOffset>107950</wp:posOffset>
            </wp:positionV>
            <wp:extent cx="5154295" cy="3204210"/>
            <wp:effectExtent l="19050" t="0" r="27526" b="0"/>
            <wp:wrapNone/>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p>
    <w:p>
      <w:pPr>
        <w:adjustRightInd w:val="0"/>
        <w:snapToGrid w:val="0"/>
        <w:spacing w:line="600" w:lineRule="exact"/>
        <w:ind w:left="420" w:leftChars="200"/>
        <w:rPr>
          <w:rFonts w:hint="eastAsia"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年度财政拨款基本支出2115.71万元，其中：人员经费1847.39万元，主要包括基本工资、津贴补贴、奖金、绩效工资、机关事业单位基本养老保险缴费、职业年金缴费、职工基本医疗保险缴费、住房公积金、其他社会保障缴费、其他工资福利支出、离休费、退休费、生活补助、奖励金、其他对个人和家庭的补助支出；公用经费268.32万元，主要包括办公费、手续费、水费、电费、邮电费、取暖费、物业管理费、差旅费、维修（护）费、培训费、公务接待费、工会经费、福利费、公务用车运行维护费、其他交通费用、其他商品和服务支出、办公设备购置、专用设备购置。</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本部门2020年度“三公”经费财政拨款支出预算为5.14万元，支出决算为2.60万元，完成预算的50.58%, 较预算减少2.54万元，降低49.42%，</w:t>
      </w:r>
      <w:r>
        <w:rPr>
          <w:rFonts w:hint="eastAsia" w:ascii="仿宋_GB2312" w:hAnsi="Times New Roman" w:eastAsia="仿宋_GB2312" w:cs="Wingdings"/>
          <w:sz w:val="32"/>
          <w:szCs w:val="32"/>
          <w:highlight w:val="none"/>
        </w:rPr>
        <w:t>主要是</w:t>
      </w:r>
      <w:r>
        <w:rPr>
          <w:rFonts w:hint="eastAsia" w:ascii="仿宋_GB2312" w:hAnsi="Times New Roman" w:eastAsia="仿宋_GB2312" w:cs="DengXian-Regular"/>
          <w:sz w:val="32"/>
          <w:szCs w:val="32"/>
          <w:highlight w:val="none"/>
        </w:rPr>
        <w:t>我院</w:t>
      </w:r>
      <w:r>
        <w:rPr>
          <w:rFonts w:hint="eastAsia" w:ascii="仿宋_GB2312" w:eastAsia="仿宋_GB2312" w:cs="DengXian-Regular"/>
          <w:sz w:val="32"/>
          <w:szCs w:val="32"/>
          <w:highlight w:val="none"/>
        </w:rPr>
        <w:t>认真贯彻落实中央“八项规定”精神和厉行节约要求，管理制度不断完善，从严控制“三公”经费开支，全年实际支出比预算有所节约</w:t>
      </w:r>
      <w:r>
        <w:rPr>
          <w:rFonts w:hint="eastAsia" w:ascii="仿宋_GB2312" w:hAnsi="Times New Roman" w:eastAsia="仿宋_GB2312" w:cs="Wingdings"/>
          <w:sz w:val="32"/>
          <w:szCs w:val="32"/>
          <w:highlight w:val="none"/>
        </w:rPr>
        <w:t>；较2019年度减少2.55万元，降低33.16%，主要是公车改革，车辆减少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本部门2020年度因公出国（境）费支出0万元，与预算数持平、与</w:t>
      </w:r>
      <w:r>
        <w:rPr>
          <w:rFonts w:hint="eastAsia" w:ascii="仿宋_GB2312" w:hAnsi="Times New Roman" w:eastAsia="仿宋_GB2312" w:cs="Wingdings"/>
          <w:color w:val="000000"/>
          <w:sz w:val="32"/>
          <w:szCs w:val="32"/>
        </w:rPr>
        <w:t>2019年度决算支出持平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本部门2020年度公务用车购置及运行维护费支出2.42万元，完成预算的96.41%，</w:t>
      </w:r>
      <w:r>
        <w:rPr>
          <w:rFonts w:hint="eastAsia" w:ascii="仿宋_GB2312" w:hAnsi="Times New Roman" w:eastAsia="仿宋_GB2312" w:cs="Wingdings"/>
          <w:sz w:val="32"/>
          <w:szCs w:val="32"/>
        </w:rPr>
        <w:t>较预算减少0.09万元，降低3.59%, 主要是</w:t>
      </w:r>
      <w:r>
        <w:rPr>
          <w:rFonts w:hint="eastAsia" w:ascii="仿宋_GB2312" w:hAnsi="Times New Roman" w:eastAsia="仿宋_GB2312" w:cs="DengXian-Regular"/>
          <w:sz w:val="32"/>
          <w:szCs w:val="32"/>
        </w:rPr>
        <w:t>单位切实压缩公务用车费用支出，相应减少公务用车运行费用支出</w:t>
      </w:r>
      <w:r>
        <w:rPr>
          <w:rFonts w:hint="eastAsia" w:ascii="仿宋_GB2312" w:hAnsi="Times New Roman" w:eastAsia="仿宋_GB2312" w:cs="Wingdings"/>
          <w:sz w:val="32"/>
          <w:szCs w:val="32"/>
        </w:rPr>
        <w:t>；较2019年度减少4.8万元，降低66.48%,主</w:t>
      </w:r>
      <w:r>
        <w:rPr>
          <w:rFonts w:hint="eastAsia" w:ascii="仿宋_GB2312" w:hAnsi="Times New Roman" w:eastAsia="仿宋_GB2312" w:cs="Wingdings"/>
          <w:sz w:val="32"/>
          <w:szCs w:val="32"/>
          <w:highlight w:val="none"/>
        </w:rPr>
        <w:t>要是公车改革，车辆减少</w:t>
      </w:r>
      <w:r>
        <w:rPr>
          <w:rFonts w:hint="eastAsia" w:ascii="仿宋_GB2312" w:hAnsi="Times New Roman" w:eastAsia="仿宋_GB2312" w:cs="Wingdings"/>
          <w:sz w:val="32"/>
          <w:szCs w:val="32"/>
        </w:rPr>
        <w:t>，</w:t>
      </w:r>
      <w:r>
        <w:rPr>
          <w:rFonts w:ascii="仿宋_GB2312" w:eastAsia="仿宋_GB2312" w:cs="DengXian-Regular"/>
          <w:sz w:val="32"/>
          <w:szCs w:val="32"/>
        </w:rPr>
        <w:t>从严控制公务用车购置及运行维护费开支</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本部门2020年度公务用车购置量0辆，发生“公务用车购置”经费支出0万元，与预算数持平、与</w:t>
      </w:r>
      <w:r>
        <w:rPr>
          <w:rFonts w:hint="eastAsia" w:ascii="仿宋_GB2312" w:hAnsi="Times New Roman" w:eastAsia="仿宋_GB2312" w:cs="Wingdings"/>
          <w:color w:val="000000"/>
          <w:sz w:val="32"/>
          <w:szCs w:val="32"/>
        </w:rPr>
        <w:t>2019年度决算支出持平</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3</w:t>
      </w:r>
      <w:r>
        <w:rPr>
          <w:rFonts w:hint="eastAsia" w:ascii="仿宋_GB2312" w:hAnsi="Times New Roman" w:eastAsia="仿宋_GB2312" w:cs="Wingdings"/>
          <w:sz w:val="32"/>
          <w:szCs w:val="32"/>
        </w:rPr>
        <w:t>辆,发生运行维护费支出2.42万元。较预算减少0.09万元，降低3.59%, 主要是</w:t>
      </w:r>
      <w:r>
        <w:rPr>
          <w:rFonts w:hint="eastAsia" w:ascii="仿宋_GB2312" w:hAnsi="Times New Roman" w:eastAsia="仿宋_GB2312" w:cs="DengXian-Regular"/>
          <w:sz w:val="32"/>
          <w:szCs w:val="32"/>
        </w:rPr>
        <w:t>单位切实压缩公务用车费用支出，相应减少公务用车运行费用支出</w:t>
      </w:r>
      <w:r>
        <w:rPr>
          <w:rFonts w:hint="eastAsia" w:ascii="仿宋_GB2312" w:hAnsi="Times New Roman" w:eastAsia="仿宋_GB2312" w:cs="Wingdings"/>
          <w:sz w:val="32"/>
          <w:szCs w:val="32"/>
        </w:rPr>
        <w:t>；较2019年度减少4.8万元，降低66.48%，主要是</w:t>
      </w:r>
      <w:r>
        <w:rPr>
          <w:rFonts w:hint="eastAsia" w:ascii="仿宋_GB2312" w:hAnsi="Times New Roman" w:eastAsia="仿宋_GB2312" w:cs="Wingdings"/>
          <w:sz w:val="32"/>
          <w:szCs w:val="32"/>
          <w:highlight w:val="none"/>
        </w:rPr>
        <w:t>公车改革，车辆减少，</w:t>
      </w:r>
      <w:r>
        <w:rPr>
          <w:rFonts w:ascii="仿宋_GB2312" w:eastAsia="仿宋_GB2312" w:cs="DengXian-Regular"/>
          <w:sz w:val="32"/>
          <w:szCs w:val="32"/>
        </w:rPr>
        <w:t>公务用车运行维护费开支</w:t>
      </w:r>
      <w:r>
        <w:rPr>
          <w:rFonts w:hint="eastAsia" w:ascii="仿宋_GB2312" w:eastAsia="仿宋_GB2312" w:cs="DengXian-Regular"/>
          <w:sz w:val="32"/>
          <w:szCs w:val="32"/>
        </w:rPr>
        <w:t>减少</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highlight w:val="none"/>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本部门2020年度公务接待费支出0.18万元，完成预算的6.84%。发生</w:t>
      </w:r>
      <w:r>
        <w:rPr>
          <w:rFonts w:hint="eastAsia" w:ascii="仿宋_GB2312" w:hAnsi="Times New Roman" w:eastAsia="仿宋_GB2312" w:cs="Wingdings"/>
          <w:sz w:val="32"/>
          <w:szCs w:val="32"/>
        </w:rPr>
        <w:t>公务接待共1批次、14人次。公务接待费支出较预算减少2.45万元，降低93.16%,主要是</w:t>
      </w:r>
      <w:r>
        <w:rPr>
          <w:rFonts w:ascii="仿宋_GB2312" w:eastAsia="仿宋_GB2312" w:cs="DengXian-Regular"/>
          <w:sz w:val="32"/>
          <w:szCs w:val="32"/>
        </w:rPr>
        <w:t>积极贯彻落实关于厉行节约的要求，严控公务接待费支出</w:t>
      </w:r>
      <w:r>
        <w:rPr>
          <w:rFonts w:hint="eastAsia" w:ascii="仿宋_GB2312" w:hAnsi="Times New Roman" w:eastAsia="仿宋_GB2312" w:cs="Wingdings"/>
          <w:sz w:val="32"/>
          <w:szCs w:val="32"/>
        </w:rPr>
        <w:t>；较2019年度减少0.29万元，降低61.70%, 主要</w:t>
      </w:r>
      <w:r>
        <w:rPr>
          <w:rFonts w:hint="eastAsia" w:ascii="仿宋_GB2312" w:hAnsi="Times New Roman" w:eastAsia="仿宋_GB2312" w:cs="Wingdings"/>
          <w:sz w:val="32"/>
          <w:szCs w:val="32"/>
          <w:highlight w:val="none"/>
        </w:rPr>
        <w:t>是</w:t>
      </w:r>
      <w:r>
        <w:rPr>
          <w:rFonts w:ascii="仿宋_GB2312" w:eastAsia="仿宋_GB2312" w:cs="DengXian-Regular"/>
          <w:sz w:val="32"/>
          <w:szCs w:val="32"/>
          <w:highlight w:val="none"/>
        </w:rPr>
        <w:t>厉行节约</w:t>
      </w:r>
      <w:r>
        <w:rPr>
          <w:rFonts w:hint="eastAsia" w:ascii="仿宋_GB2312" w:eastAsia="仿宋_GB2312" w:cs="DengXian-Regular"/>
          <w:sz w:val="32"/>
          <w:szCs w:val="32"/>
          <w:highlight w:val="none"/>
        </w:rPr>
        <w:t>，</w:t>
      </w:r>
      <w:r>
        <w:rPr>
          <w:rFonts w:ascii="仿宋_GB2312" w:eastAsia="仿宋_GB2312" w:cs="DengXian-Regular"/>
          <w:sz w:val="32"/>
          <w:szCs w:val="32"/>
          <w:highlight w:val="none"/>
        </w:rPr>
        <w:t>严控公务接待费支出</w:t>
      </w:r>
      <w:r>
        <w:rPr>
          <w:rFonts w:hint="eastAsia" w:ascii="仿宋_GB2312" w:hAnsi="Times New Roman" w:eastAsia="仿宋_GB2312" w:cs="Wingdings"/>
          <w:sz w:val="32"/>
          <w:szCs w:val="32"/>
          <w:highlight w:val="none"/>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21个，二级项目0个，共涉及资金1028.81万元，占一般公共预算项目支出总额的100%；未发生政府性基金预算项目支出。</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组织对“玉米育种产业技术创新战略联盟”、</w:t>
      </w:r>
      <w:r>
        <w:rPr>
          <w:rFonts w:hint="eastAsia" w:ascii="仿宋_GB2312" w:hAnsi="仿宋_GB2312" w:eastAsia="仿宋_GB2312" w:cs="仿宋_GB2312"/>
          <w:bCs/>
          <w:sz w:val="32"/>
          <w:szCs w:val="32"/>
        </w:rPr>
        <w:t>市“百人计划”第三批创新创业团队支持资金</w:t>
      </w:r>
      <w:r>
        <w:rPr>
          <w:rFonts w:hint="eastAsia" w:ascii="仿宋_GB2312" w:hAnsi="仿宋_GB2312" w:eastAsia="仿宋_GB2312" w:cs="仿宋_GB2312"/>
          <w:sz w:val="32"/>
          <w:szCs w:val="32"/>
        </w:rPr>
        <w:t>一级项目开展了部门评价，涉及一般公共预算支出15万元。从评价情况来看，预算项目评“优”率98.17%，原因是项目按照政策或任务合同要求，未能完成合同绩效目标，资金结转至2021年继续实施。</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本部门在今年部门决算公开中反映“玉米育种产业技术创新战略联盟”项目及市“百人计划”第三批创新创业团队支持资金项目等2个项目绩效自评结果。</w:t>
      </w:r>
    </w:p>
    <w:p>
      <w:pPr>
        <w:numPr>
          <w:ilvl w:val="0"/>
          <w:numId w:val="4"/>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玉米育种产业技术创新战略联盟”项目自评综述：根据年初设定的绩效目标，玉米育种产业技术创新战略联盟项目绩效自评得分为100分。全年预算数为5万元，执行数为5万元，完成预算的100%。项目绩效目标完成情况：一是进行了玉米全流程方法改进研究及普通玉米种质资源创新及杂交种选育推广。育成邯玉17-6601和邯玉1805两个玉米杂交种分别参加国家和省级区域试验，并晋级第二年区域试验；二是进行鲜食玉米种质资源创新及杂交种选育推广。开展李甜、糯、甜加糯多类型鲜食玉米种质资源创新和群体改良，创制抗性突出、性状稳定、品质优良的糯玉米自交系116份，甜玉米自交系45份，甜加糯型玉米自交系55份，采用主推品种作为优良测验种进行配合力测定，组配出邯糯玉1、邯彩糯玉2两个优良组合参加区域试验并晋级下年区试；三是在成安县大郭庄开展了玉米全程机械化高效生产技术集成示范。示范品种为邯玉398，示范核心技术3项：机械化一次性深松、施肥、精准播种技术；植保无人机病虫草害绿色综合防控技术和玉米机械化籽粒收获技术。以全程机械化高效生产技术集成示范田为依托，召开现场观摩会3次，技术培训会4次，电话和现场应急性技术指导12次，发放技术资料2239份，培训人员648人。示范地块平均亩产846.9公斤，较周边地块增产12.2%，取得了良好的示范效果；四是成员单位按照“自愿、平等、合作”的原则，以育种技术为纽带，以创新育种方法、创制优良种质资源、选育优良玉米杂交种、促进优良玉米杂交种应用推广位四大主要目标，进行优良种质资源交换共享，共交换种质材料39份，极大地提高了成员单位的育种效率和研究水平。</w:t>
      </w:r>
    </w:p>
    <w:p>
      <w:pPr>
        <w:numPr>
          <w:ilvl w:val="0"/>
          <w:numId w:val="4"/>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百人计划”第三批创新创业团队支持资金项目绩效自评综述：市“百人计划”第三批创新创业团队支持资金项目绩效自评得分为98.17分。项目起止期2019年-2021年，总资金50万元，前期已拨付30万元，本年度10万元资金主要用于育成品种参加区域试验及育成优良杂交组合，完成预算的81.7%。项目绩效目标完成情况：育成2个玉米杂交种参加了国家和省级区域区域试验，育成160份优良自交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项目自评情况看，存在主要问题和原因：一是部分项目指标难以量化考核，原因为部分科研项目具有不确定性，难以准确预估科研成果，其研发过程也无法用量化指标衡量；二是跨年度项目在自评年度无法完成全部绩效目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下一步改进措施：充分考虑科研项目具有不确定性的特点，通过对项目研发的关键环节设定清晰可衡量的绩效指标，充分体现项目执行的绩效。</w:t>
      </w:r>
    </w:p>
    <w:p>
      <w:pPr>
        <w:keepNext/>
        <w:keepLines/>
        <w:adjustRightInd w:val="0"/>
        <w:snapToGrid w:val="0"/>
        <w:spacing w:line="600" w:lineRule="exact"/>
        <w:ind w:left="64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本部门性质为事业单位，无机关运行经费支出。</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本部门2020年度政府采购支出总额119.67万元，从采购类型来看，</w:t>
      </w:r>
      <w:r>
        <w:rPr>
          <w:rFonts w:hint="eastAsia" w:ascii="仿宋_GB2312" w:hAnsi="仿宋_GB2312" w:eastAsia="仿宋_GB2312" w:cs="仿宋_GB2312"/>
          <w:color w:val="000000"/>
          <w:kern w:val="0"/>
          <w:sz w:val="32"/>
          <w:szCs w:val="32"/>
        </w:rPr>
        <w:t>政府采购货物支出119.67万元、政府采购工程支出0万元、政府采购服务支出0万元。授予中小企业合同金额119.67万元，占政府采购支出总额的100%，其中授予小微企业合同金额119.67万元，占政府采购支出总额的100%。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截至2020年12月31日，本部门共有车辆3辆，比上年减少3辆，主要是报废2辆，拍卖1辆。其中，其他用车3辆，主要是</w:t>
      </w:r>
      <w:r>
        <w:rPr>
          <w:rFonts w:hint="eastAsia" w:ascii="仿宋_GB2312" w:hAnsi="Times New Roman" w:eastAsia="仿宋_GB2312" w:cs="DengXian-Regular"/>
          <w:sz w:val="32"/>
          <w:szCs w:val="32"/>
        </w:rPr>
        <w:t>科研业务保障用车</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本部门单位价值50万元以上通用设备6台（套），与上年持平；单位价值100万元以上专用设备1台（套），与上年持平。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本部门2020年度未发生国有资本经营预算收支及结转结余情况，故国有资本经营预算财政拨款支出决算表以空表列示。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r>
        <w:rPr>
          <w:rFonts w:ascii="仿宋_GB2312" w:hAnsi="宋体" w:eastAsia="仿宋_GB2312" w:cs="Arial Black"/>
          <w:sz w:val="32"/>
          <w:szCs w:val="32"/>
        </w:rPr>
        <w:br w:type="page"/>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_x0000_s1029" o:spid="_x0000_s1029" o:spt="202" type="#_x0000_t202" style="position:absolute;left:0pt;margin-left:-81.9pt;margin-top:10.8pt;height:263.1pt;width:613.65pt;z-index:251662336;v-text-anchor:middle;mso-width-relative:page;mso-height-relative:page;" fillcolor="#7F7F7F" filled="t" stroked="t" coordsize="21600,21600" o:gfxdata="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Gzv72AAAAAsBAAAPAAAAAAAAAAEAIAAAACIAAABkcnMvZG93bnJldi54&#10;bWxQSwECFAAUAAAACACHTuJA+DKZGGwCAAD+BAAADgAAAAAAAAABACAAAAAnAQAAZHJzL2Uyb0Rv&#10;Yy54bWxQSwUGAAAAAAYABgBZAQAABQYAAAAA&#10;">
            <v:path/>
            <v:fill type="pattern" on="t" color2="#FFFFFF" o:title="image2" focussize="0,0" r:id="rId14"/>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r>
        <w:rPr>
          <w:rFonts w:hint="eastAsia" w:ascii="仿宋_GB2312" w:hAnsi="宋体" w:eastAsia="仿宋_GB2312" w:cs="Arial Black"/>
          <w:sz w:val="32"/>
          <w:szCs w:val="32"/>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6432;v-text-anchor:middle;mso-width-relative:page;mso-height-relative:page;" fillcolor="#7F7F7F" filled="t" stroked="t" coordsize="21600,21600" o:gfxdata="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cevmzcAAAA&#10;DQEAAA8AAAAAAAAAAQAgAAAAIgAAAGRycy9kb3ducmV2LnhtbFBLAQIUABQAAAAIAIdO4kDLXY5P&#10;iwIAAFsFAAAOAAAAAAAAAAEAIAAAACsBAABkcnMvZTJvRG9jLnhtbFBLBQYAAAAABgAGAFkBAAAo&#10;BgAAAAA=&#10;">
            <v:path/>
            <v:fill type="pattern" on="t" o:title="image2" focussize="0,0" r:id="rId14"/>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tbl>
      <w:tblPr>
        <w:tblStyle w:val="6"/>
        <w:tblW w:w="9812" w:type="dxa"/>
        <w:jc w:val="center"/>
        <w:shd w:val="clear" w:color="auto" w:fill="FFFFFF"/>
        <w:tblLayout w:type="fixed"/>
        <w:tblCellMar>
          <w:top w:w="0" w:type="dxa"/>
          <w:left w:w="108" w:type="dxa"/>
          <w:bottom w:w="0" w:type="dxa"/>
          <w:right w:w="108" w:type="dxa"/>
        </w:tblCellMar>
      </w:tblPr>
      <w:tblGrid>
        <w:gridCol w:w="3112"/>
        <w:gridCol w:w="600"/>
        <w:gridCol w:w="1025"/>
        <w:gridCol w:w="3036"/>
        <w:gridCol w:w="602"/>
        <w:gridCol w:w="1437"/>
      </w:tblGrid>
      <w:tr>
        <w:tblPrEx>
          <w:shd w:val="clear" w:color="auto" w:fill="FFFFFF"/>
          <w:tblCellMar>
            <w:top w:w="0" w:type="dxa"/>
            <w:left w:w="108" w:type="dxa"/>
            <w:bottom w:w="0" w:type="dxa"/>
            <w:right w:w="108" w:type="dxa"/>
          </w:tblCellMar>
        </w:tblPrEx>
        <w:trPr>
          <w:trHeight w:val="449" w:hRule="atLeast"/>
          <w:jc w:val="center"/>
        </w:trPr>
        <w:tc>
          <w:tcPr>
            <w:tcW w:w="9812" w:type="dxa"/>
            <w:gridSpan w:val="6"/>
            <w:tcBorders>
              <w:top w:val="nil"/>
              <w:left w:val="nil"/>
              <w:bottom w:val="nil"/>
              <w:right w:val="nil"/>
            </w:tcBorders>
            <w:shd w:val="clear" w:color="auto" w:fill="FFFFFF"/>
            <w:noWrap/>
            <w:vAlign w:val="bottom"/>
          </w:tcPr>
          <w:p>
            <w:pPr>
              <w:jc w:val="center"/>
              <w:rPr>
                <w:rFonts w:ascii="Arial" w:hAnsi="Arial" w:cs="Arial"/>
                <w:color w:val="000000"/>
                <w:sz w:val="20"/>
                <w:szCs w:val="20"/>
              </w:rPr>
            </w:pPr>
            <w:r>
              <w:rPr>
                <w:rFonts w:hint="eastAsia" w:ascii="黑体" w:hAnsi="黑体" w:eastAsia="黑体" w:cs="黑体"/>
                <w:color w:val="000000"/>
                <w:kern w:val="0"/>
                <w:sz w:val="28"/>
                <w:szCs w:val="28"/>
              </w:rPr>
              <w:t>收入支出决算总表</w:t>
            </w:r>
          </w:p>
        </w:tc>
      </w:tr>
      <w:tr>
        <w:tblPrEx>
          <w:tblCellMar>
            <w:top w:w="0" w:type="dxa"/>
            <w:left w:w="108" w:type="dxa"/>
            <w:bottom w:w="0" w:type="dxa"/>
            <w:right w:w="108" w:type="dxa"/>
          </w:tblCellMar>
        </w:tblPrEx>
        <w:trPr>
          <w:trHeight w:val="187" w:hRule="atLeast"/>
          <w:jc w:val="center"/>
        </w:trPr>
        <w:tc>
          <w:tcPr>
            <w:tcW w:w="3112"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600"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0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3036"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602"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437" w:type="dxa"/>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18"/>
                <w:szCs w:val="18"/>
              </w:rPr>
              <w:t>公开01表</w:t>
            </w:r>
          </w:p>
        </w:tc>
      </w:tr>
      <w:tr>
        <w:tblPrEx>
          <w:tblCellMar>
            <w:top w:w="0" w:type="dxa"/>
            <w:left w:w="108" w:type="dxa"/>
            <w:bottom w:w="0" w:type="dxa"/>
            <w:right w:w="108" w:type="dxa"/>
          </w:tblCellMar>
        </w:tblPrEx>
        <w:trPr>
          <w:trHeight w:val="361" w:hRule="atLeast"/>
          <w:jc w:val="center"/>
        </w:trPr>
        <w:tc>
          <w:tcPr>
            <w:tcW w:w="3112" w:type="dxa"/>
            <w:tcBorders>
              <w:top w:val="nil"/>
              <w:left w:val="nil"/>
              <w:bottom w:val="nil"/>
              <w:right w:val="nil"/>
            </w:tcBorders>
            <w:shd w:val="clear" w:color="auto" w:fill="FFFFFF"/>
            <w:noWrap/>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18"/>
                <w:szCs w:val="18"/>
              </w:rPr>
              <w:t>部门：邯郸市农业科学院（汇总）</w:t>
            </w:r>
          </w:p>
        </w:tc>
        <w:tc>
          <w:tcPr>
            <w:tcW w:w="600"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0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3036"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602"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437" w:type="dxa"/>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91" w:hRule="atLeast"/>
          <w:jc w:val="center"/>
        </w:trPr>
        <w:tc>
          <w:tcPr>
            <w:tcW w:w="473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黑体" w:hAnsi="黑体" w:eastAsia="黑体" w:cs="黑体"/>
                <w:color w:val="000000"/>
                <w:kern w:val="0"/>
                <w:sz w:val="20"/>
                <w:szCs w:val="20"/>
              </w:rPr>
              <w:t>收入</w:t>
            </w:r>
          </w:p>
        </w:tc>
        <w:tc>
          <w:tcPr>
            <w:tcW w:w="5075" w:type="dxa"/>
            <w:gridSpan w:val="3"/>
            <w:tcBorders>
              <w:top w:val="single" w:color="000000" w:sz="4" w:space="0"/>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黑体" w:hAnsi="黑体" w:eastAsia="黑体" w:cs="黑体"/>
                <w:color w:val="000000"/>
                <w:kern w:val="0"/>
                <w:sz w:val="20"/>
                <w:szCs w:val="20"/>
              </w:rPr>
              <w:t>支出</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行次</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金额</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行次</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金额</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一、一般公共预算财政拨款收入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2,922.14</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一、一般公共服务支出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二、政府性基金预算财政拨款收入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116.00</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三、国有资本经营预算财政拨款收入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五、事业收入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27.00</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六、经营收入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3,158.47</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七、附属单位上缴收入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七、文化旅游体育与传媒支出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八、其他收入</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543.83</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八、社会保障和就业支出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271.39</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九、卫生健康支出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159.08</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十、节能环保支出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十一、城乡社区支出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十二、农林水支出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十三、交通运输支出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十四、资源勘探工业信息等支出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十五、商业服务业等支出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十六、金融支出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十七、援助其他地区支出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十八、自然资源海洋气象等支出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十九、住房保障支出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112.13</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二十、粮油物资储备支出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二十一、国有资本经营预算支出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二十二、灾害防治及应急管理支出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二十三、其他支出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二十四、债务还本支出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二十五、债务付息支出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二十六、抗疫特别国债安排的支出</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本年收入合计</w:t>
            </w:r>
          </w:p>
        </w:tc>
        <w:tc>
          <w:tcPr>
            <w:tcW w:w="60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3,608.97</w:t>
            </w:r>
          </w:p>
        </w:tc>
        <w:tc>
          <w:tcPr>
            <w:tcW w:w="303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本年支出合计</w:t>
            </w:r>
          </w:p>
        </w:tc>
        <w:tc>
          <w:tcPr>
            <w:tcW w:w="60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43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3,701.07</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使用非财政拨款结余</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结余分配</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年初结转和结余</w:t>
            </w: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0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1,160.72</w:t>
            </w:r>
          </w:p>
        </w:tc>
        <w:tc>
          <w:tcPr>
            <w:tcW w:w="3036"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年末结转和结余</w:t>
            </w: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437"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1,068.62</w:t>
            </w: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c>
          <w:tcPr>
            <w:tcW w:w="303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kern w:val="0"/>
                <w:sz w:val="18"/>
                <w:szCs w:val="18"/>
              </w:rPr>
            </w:pPr>
          </w:p>
        </w:tc>
        <w:tc>
          <w:tcPr>
            <w:tcW w:w="60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43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91" w:hRule="atLeast"/>
          <w:jc w:val="center"/>
        </w:trPr>
        <w:tc>
          <w:tcPr>
            <w:tcW w:w="3112"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总计</w:t>
            </w:r>
          </w:p>
        </w:tc>
        <w:tc>
          <w:tcPr>
            <w:tcW w:w="600" w:type="dxa"/>
            <w:tcBorders>
              <w:top w:val="nil"/>
              <w:left w:val="nil"/>
              <w:bottom w:val="single" w:color="000000" w:sz="8"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02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4,769.69</w:t>
            </w:r>
          </w:p>
        </w:tc>
        <w:tc>
          <w:tcPr>
            <w:tcW w:w="303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总计</w:t>
            </w:r>
          </w:p>
        </w:tc>
        <w:tc>
          <w:tcPr>
            <w:tcW w:w="60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43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4,769.69</w:t>
            </w:r>
          </w:p>
        </w:tc>
      </w:tr>
      <w:tr>
        <w:tblPrEx>
          <w:tblCellMar>
            <w:top w:w="0" w:type="dxa"/>
            <w:left w:w="108" w:type="dxa"/>
            <w:bottom w:w="0" w:type="dxa"/>
            <w:right w:w="108" w:type="dxa"/>
          </w:tblCellMar>
        </w:tblPrEx>
        <w:trPr>
          <w:trHeight w:val="90" w:hRule="atLeast"/>
          <w:jc w:val="center"/>
        </w:trPr>
        <w:tc>
          <w:tcPr>
            <w:tcW w:w="9812" w:type="dxa"/>
            <w:gridSpan w:val="6"/>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18"/>
                <w:szCs w:val="18"/>
              </w:rPr>
              <w:t>注：本表反映部门本年度的总收支和年末结转结余情况。</w:t>
            </w:r>
          </w:p>
        </w:tc>
      </w:tr>
    </w:tbl>
    <w:p>
      <w:pPr>
        <w:sectPr>
          <w:pgSz w:w="11906" w:h="16838"/>
          <w:pgMar w:top="1440" w:right="1800" w:bottom="1440" w:left="1800" w:header="851" w:footer="992" w:gutter="0"/>
          <w:cols w:space="720" w:num="1"/>
          <w:docGrid w:type="lines" w:linePitch="312" w:charSpace="0"/>
        </w:sectPr>
      </w:pPr>
    </w:p>
    <w:tbl>
      <w:tblPr>
        <w:tblStyle w:val="6"/>
        <w:tblpPr w:leftFromText="180" w:rightFromText="180" w:vertAnchor="text" w:horzAnchor="page" w:tblpXSpec="center" w:tblpY="131"/>
        <w:tblOverlap w:val="never"/>
        <w:tblW w:w="9654" w:type="dxa"/>
        <w:jc w:val="center"/>
        <w:shd w:val="clear" w:color="auto" w:fill="FFFFFF"/>
        <w:tblLayout w:type="fixed"/>
        <w:tblCellMar>
          <w:top w:w="0" w:type="dxa"/>
          <w:left w:w="108" w:type="dxa"/>
          <w:bottom w:w="0" w:type="dxa"/>
          <w:right w:w="108" w:type="dxa"/>
        </w:tblCellMar>
      </w:tblPr>
      <w:tblGrid>
        <w:gridCol w:w="894"/>
        <w:gridCol w:w="2565"/>
        <w:gridCol w:w="1035"/>
        <w:gridCol w:w="990"/>
        <w:gridCol w:w="1065"/>
        <w:gridCol w:w="705"/>
        <w:gridCol w:w="720"/>
        <w:gridCol w:w="855"/>
        <w:gridCol w:w="825"/>
      </w:tblGrid>
      <w:tr>
        <w:tblPrEx>
          <w:shd w:val="clear" w:color="auto" w:fill="FFFFFF"/>
          <w:tblCellMar>
            <w:top w:w="0" w:type="dxa"/>
            <w:left w:w="108" w:type="dxa"/>
            <w:bottom w:w="0" w:type="dxa"/>
            <w:right w:w="108" w:type="dxa"/>
          </w:tblCellMar>
        </w:tblPrEx>
        <w:trPr>
          <w:trHeight w:val="174" w:hRule="atLeast"/>
          <w:jc w:val="center"/>
        </w:trPr>
        <w:tc>
          <w:tcPr>
            <w:tcW w:w="9654" w:type="dxa"/>
            <w:gridSpan w:val="9"/>
            <w:tcBorders>
              <w:top w:val="nil"/>
              <w:left w:val="nil"/>
              <w:bottom w:val="nil"/>
              <w:right w:val="nil"/>
            </w:tcBorders>
            <w:shd w:val="clear" w:color="auto" w:fill="FFFFFF"/>
            <w:noWrap/>
            <w:vAlign w:val="bottom"/>
          </w:tcPr>
          <w:p>
            <w:pPr>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收入决算表</w:t>
            </w:r>
          </w:p>
        </w:tc>
      </w:tr>
      <w:tr>
        <w:tblPrEx>
          <w:tblCellMar>
            <w:top w:w="0" w:type="dxa"/>
            <w:left w:w="108" w:type="dxa"/>
            <w:bottom w:w="0" w:type="dxa"/>
            <w:right w:w="108" w:type="dxa"/>
          </w:tblCellMar>
        </w:tblPrEx>
        <w:trPr>
          <w:trHeight w:val="91" w:hRule="atLeast"/>
          <w:jc w:val="center"/>
        </w:trPr>
        <w:tc>
          <w:tcPr>
            <w:tcW w:w="3459"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035"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99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065"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705"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72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680" w:type="dxa"/>
            <w:gridSpan w:val="2"/>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公开02表</w:t>
            </w:r>
          </w:p>
        </w:tc>
      </w:tr>
      <w:tr>
        <w:tblPrEx>
          <w:tblCellMar>
            <w:top w:w="0" w:type="dxa"/>
            <w:left w:w="108" w:type="dxa"/>
            <w:bottom w:w="0" w:type="dxa"/>
            <w:right w:w="108" w:type="dxa"/>
          </w:tblCellMar>
        </w:tblPrEx>
        <w:trPr>
          <w:trHeight w:val="91" w:hRule="atLeast"/>
          <w:jc w:val="center"/>
        </w:trPr>
        <w:tc>
          <w:tcPr>
            <w:tcW w:w="3459"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r>
              <w:rPr>
                <w:rFonts w:hint="eastAsia" w:ascii="宋体" w:hAnsi="宋体" w:eastAsia="宋体" w:cs="宋体"/>
                <w:color w:val="000000"/>
                <w:kern w:val="0"/>
                <w:sz w:val="18"/>
                <w:szCs w:val="18"/>
              </w:rPr>
              <w:t>部门：邯郸市农业科学院（汇总）</w:t>
            </w:r>
          </w:p>
        </w:tc>
        <w:tc>
          <w:tcPr>
            <w:tcW w:w="1035"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99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065"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705"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2400" w:type="dxa"/>
            <w:gridSpan w:val="3"/>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91" w:hRule="atLeast"/>
          <w:jc w:val="center"/>
        </w:trPr>
        <w:tc>
          <w:tcPr>
            <w:tcW w:w="345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103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99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财政拨款收入</w:t>
            </w:r>
          </w:p>
        </w:tc>
        <w:tc>
          <w:tcPr>
            <w:tcW w:w="106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上级补助收入</w:t>
            </w:r>
          </w:p>
        </w:tc>
        <w:tc>
          <w:tcPr>
            <w:tcW w:w="70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事业收入</w:t>
            </w:r>
          </w:p>
        </w:tc>
        <w:tc>
          <w:tcPr>
            <w:tcW w:w="72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经营收入</w:t>
            </w:r>
          </w:p>
        </w:tc>
        <w:tc>
          <w:tcPr>
            <w:tcW w:w="85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附属单位上缴收入</w:t>
            </w:r>
          </w:p>
        </w:tc>
        <w:tc>
          <w:tcPr>
            <w:tcW w:w="8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其他收入</w:t>
            </w:r>
          </w:p>
        </w:tc>
      </w:tr>
      <w:tr>
        <w:tblPrEx>
          <w:tblCellMar>
            <w:top w:w="0" w:type="dxa"/>
            <w:left w:w="108" w:type="dxa"/>
            <w:bottom w:w="0" w:type="dxa"/>
            <w:right w:w="108" w:type="dxa"/>
          </w:tblCellMar>
        </w:tblPrEx>
        <w:trPr>
          <w:trHeight w:val="312" w:hRule="atLeast"/>
          <w:jc w:val="center"/>
        </w:trPr>
        <w:tc>
          <w:tcPr>
            <w:tcW w:w="894"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功能分类科目编码</w:t>
            </w:r>
          </w:p>
        </w:tc>
        <w:tc>
          <w:tcPr>
            <w:tcW w:w="2565" w:type="dxa"/>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03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c>
          <w:tcPr>
            <w:tcW w:w="99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c>
          <w:tcPr>
            <w:tcW w:w="106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c>
          <w:tcPr>
            <w:tcW w:w="70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c>
          <w:tcPr>
            <w:tcW w:w="7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c>
          <w:tcPr>
            <w:tcW w:w="85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c>
          <w:tcPr>
            <w:tcW w:w="8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12" w:hRule="atLeast"/>
          <w:jc w:val="center"/>
        </w:trPr>
        <w:tc>
          <w:tcPr>
            <w:tcW w:w="89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256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9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06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70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7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85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8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89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256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9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06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70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7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85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82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267" w:hRule="atLeast"/>
          <w:jc w:val="center"/>
        </w:trPr>
        <w:tc>
          <w:tcPr>
            <w:tcW w:w="3459"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03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9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06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70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72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5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825"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r>
      <w:tr>
        <w:tblPrEx>
          <w:tblCellMar>
            <w:top w:w="0" w:type="dxa"/>
            <w:left w:w="108" w:type="dxa"/>
            <w:bottom w:w="0" w:type="dxa"/>
            <w:right w:w="108" w:type="dxa"/>
          </w:tblCellMar>
        </w:tblPrEx>
        <w:trPr>
          <w:trHeight w:val="91" w:hRule="atLeast"/>
          <w:jc w:val="center"/>
        </w:trPr>
        <w:tc>
          <w:tcPr>
            <w:tcW w:w="3459"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3,608.97</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3,038.14</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27.00</w:t>
            </w: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543.83</w:t>
            </w: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科学技术支出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2,964.73</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2,393.90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543.83</w:t>
            </w: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20603</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应用研究</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2,124.08</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2,111.35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12.73</w:t>
            </w: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2060302</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社会公益研究</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2,124.08</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2,111.35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12.73</w:t>
            </w: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20604</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技术研究与开发</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710.65</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152.55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720" w:type="dxa"/>
            <w:tcBorders>
              <w:top w:val="nil"/>
              <w:left w:val="nil"/>
              <w:bottom w:val="single" w:color="000000" w:sz="4" w:space="0"/>
              <w:right w:val="single" w:color="000000" w:sz="4" w:space="0"/>
            </w:tcBorders>
            <w:shd w:val="clear" w:color="auto" w:fill="FFFFFF"/>
            <w:noWrap/>
            <w:vAlign w:val="center"/>
          </w:tcPr>
          <w:p>
            <w:pPr>
              <w:widowControl/>
              <w:ind w:right="90"/>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531.10</w:t>
            </w: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2060404</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科技成果转化与扩散</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111.65</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111.65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2060499</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其他技术研究与开发支出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599.00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40.90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531.10</w:t>
            </w: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20605</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科技条件与服务</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2060599</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其他科技条件与服务支出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20607</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科学技术普及</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2060799</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其他科学技术普及支出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20699</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其他科学技术支出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2069901</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科技奖励</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2069999</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其他科学技术支出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7.00</w:t>
            </w:r>
          </w:p>
        </w:tc>
        <w:tc>
          <w:tcPr>
            <w:tcW w:w="1065" w:type="dxa"/>
            <w:tcBorders>
              <w:top w:val="nil"/>
              <w:left w:val="nil"/>
              <w:bottom w:val="single" w:color="000000" w:sz="4" w:space="0"/>
              <w:right w:val="single" w:color="000000" w:sz="4" w:space="0"/>
            </w:tcBorders>
            <w:shd w:val="clear" w:color="auto" w:fill="FFFFFF"/>
            <w:noWrap/>
            <w:vAlign w:val="center"/>
          </w:tcPr>
          <w:p>
            <w:pPr>
              <w:widowControl/>
              <w:ind w:right="90"/>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社会保障和就业支出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264.37</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264.37</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ind w:right="90"/>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行政事业单位养老支出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264.37</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264.37</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ind w:right="90"/>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2080502</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事业单位离退休</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110.22</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110.22</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2080505</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机关事业单位基本养老保险缴费支出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153.77</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153.77</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2080506</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机关事业单位职业年金缴费支出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0.38</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0.38</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210</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卫生健康支出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158.55</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158.55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21011</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行政事业单位医疗</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158.55</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158.55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2101102</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事业单位医疗</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158.55</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158.55</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城乡社区支出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1065" w:type="dxa"/>
            <w:tcBorders>
              <w:top w:val="nil"/>
              <w:left w:val="nil"/>
              <w:bottom w:val="single" w:color="000000" w:sz="4" w:space="0"/>
              <w:right w:val="single" w:color="000000" w:sz="4" w:space="0"/>
            </w:tcBorders>
            <w:shd w:val="clear" w:color="auto" w:fill="FFFFFF"/>
            <w:noWrap/>
            <w:vAlign w:val="center"/>
          </w:tcPr>
          <w:p>
            <w:pPr>
              <w:widowControl/>
              <w:ind w:right="90"/>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21213</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城市基础设施配套费安排的支出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2121399</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其他城市基础设施配套费安排的支出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ind w:right="90"/>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221</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住房保障支出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105.32</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105.32</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22102</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住房改革支出</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105.32</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105.32</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894"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2210201</w:t>
            </w:r>
          </w:p>
        </w:tc>
        <w:tc>
          <w:tcPr>
            <w:tcW w:w="256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住房公积金</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105.32</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105.32</w:t>
            </w:r>
          </w:p>
        </w:tc>
        <w:tc>
          <w:tcPr>
            <w:tcW w:w="106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72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8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9654" w:type="dxa"/>
            <w:gridSpan w:val="9"/>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注：本表反映部门本年度取得的各项收入情况。</w:t>
            </w:r>
          </w:p>
        </w:tc>
      </w:tr>
    </w:tbl>
    <w:p/>
    <w:p>
      <w:pPr>
        <w:jc w:val="center"/>
        <w:rPr>
          <w:rFonts w:hint="eastAsia" w:ascii="黑体" w:hAnsi="黑体" w:eastAsia="黑体" w:cs="黑体"/>
          <w:sz w:val="28"/>
          <w:szCs w:val="28"/>
        </w:rPr>
        <w:sectPr>
          <w:pgSz w:w="11906" w:h="16838"/>
          <w:pgMar w:top="1440" w:right="1800" w:bottom="1440" w:left="1800" w:header="851" w:footer="992" w:gutter="0"/>
          <w:cols w:space="720" w:num="1"/>
          <w:docGrid w:type="lines" w:linePitch="312" w:charSpace="0"/>
        </w:sectPr>
      </w:pPr>
    </w:p>
    <w:tbl>
      <w:tblPr>
        <w:tblStyle w:val="6"/>
        <w:tblW w:w="9734" w:type="dxa"/>
        <w:jc w:val="center"/>
        <w:shd w:val="clear" w:color="auto" w:fill="FFFFFF"/>
        <w:tblLayout w:type="fixed"/>
        <w:tblCellMar>
          <w:top w:w="0" w:type="dxa"/>
          <w:left w:w="108" w:type="dxa"/>
          <w:bottom w:w="0" w:type="dxa"/>
          <w:right w:w="108" w:type="dxa"/>
        </w:tblCellMar>
      </w:tblPr>
      <w:tblGrid>
        <w:gridCol w:w="871"/>
        <w:gridCol w:w="2316"/>
        <w:gridCol w:w="1110"/>
        <w:gridCol w:w="1050"/>
        <w:gridCol w:w="1230"/>
        <w:gridCol w:w="1035"/>
        <w:gridCol w:w="945"/>
        <w:gridCol w:w="1177"/>
      </w:tblGrid>
      <w:tr>
        <w:tblPrEx>
          <w:shd w:val="clear" w:color="auto" w:fill="FFFFFF"/>
          <w:tblCellMar>
            <w:top w:w="0" w:type="dxa"/>
            <w:left w:w="108" w:type="dxa"/>
            <w:bottom w:w="0" w:type="dxa"/>
            <w:right w:w="108" w:type="dxa"/>
          </w:tblCellMar>
        </w:tblPrEx>
        <w:trPr>
          <w:trHeight w:val="91" w:hRule="atLeast"/>
          <w:jc w:val="center"/>
        </w:trPr>
        <w:tc>
          <w:tcPr>
            <w:tcW w:w="9734" w:type="dxa"/>
            <w:gridSpan w:val="8"/>
            <w:tcBorders>
              <w:top w:val="nil"/>
              <w:left w:val="nil"/>
              <w:bottom w:val="nil"/>
              <w:right w:val="nil"/>
            </w:tcBorders>
            <w:shd w:val="clear" w:color="auto" w:fill="FFFFFF"/>
            <w:noWrap/>
            <w:vAlign w:val="bottom"/>
          </w:tcPr>
          <w:p>
            <w:pPr>
              <w:jc w:val="center"/>
              <w:rPr>
                <w:rFonts w:hint="eastAsia" w:ascii="黑体" w:hAnsi="黑体" w:eastAsia="黑体" w:cs="黑体"/>
                <w:sz w:val="28"/>
                <w:szCs w:val="28"/>
              </w:rPr>
            </w:pPr>
            <w:r>
              <w:rPr>
                <w:rFonts w:hint="eastAsia" w:ascii="黑体" w:hAnsi="黑体" w:eastAsia="黑体" w:cs="黑体"/>
                <w:sz w:val="28"/>
                <w:szCs w:val="28"/>
              </w:rPr>
              <w:t>支出决算表</w:t>
            </w:r>
          </w:p>
        </w:tc>
      </w:tr>
      <w:tr>
        <w:tblPrEx>
          <w:tblCellMar>
            <w:top w:w="0" w:type="dxa"/>
            <w:left w:w="108" w:type="dxa"/>
            <w:bottom w:w="0" w:type="dxa"/>
            <w:right w:w="108" w:type="dxa"/>
          </w:tblCellMar>
        </w:tblPrEx>
        <w:trPr>
          <w:trHeight w:val="91" w:hRule="atLeast"/>
          <w:jc w:val="center"/>
        </w:trPr>
        <w:tc>
          <w:tcPr>
            <w:tcW w:w="3187" w:type="dxa"/>
            <w:gridSpan w:val="2"/>
            <w:tcBorders>
              <w:top w:val="nil"/>
              <w:left w:val="nil"/>
              <w:bottom w:val="nil"/>
              <w:right w:val="nil"/>
            </w:tcBorders>
            <w:shd w:val="clear" w:color="auto" w:fill="FFFFFF"/>
            <w:noWrap/>
            <w:vAlign w:val="bottom"/>
          </w:tcPr>
          <w:p>
            <w:pPr>
              <w:rPr>
                <w:rFonts w:hint="eastAsia" w:ascii="宋体" w:hAnsi="宋体" w:eastAsia="宋体" w:cs="宋体"/>
                <w:sz w:val="18"/>
                <w:szCs w:val="18"/>
              </w:rPr>
            </w:pPr>
          </w:p>
        </w:tc>
        <w:tc>
          <w:tcPr>
            <w:tcW w:w="1110" w:type="dxa"/>
            <w:tcBorders>
              <w:top w:val="nil"/>
              <w:left w:val="nil"/>
              <w:bottom w:val="nil"/>
              <w:right w:val="nil"/>
            </w:tcBorders>
            <w:shd w:val="clear" w:color="auto" w:fill="FFFFFF"/>
            <w:noWrap/>
            <w:vAlign w:val="bottom"/>
          </w:tcPr>
          <w:p>
            <w:pPr>
              <w:rPr>
                <w:rFonts w:hint="eastAsia" w:ascii="宋体" w:hAnsi="宋体" w:eastAsia="宋体" w:cs="宋体"/>
                <w:sz w:val="18"/>
                <w:szCs w:val="18"/>
              </w:rPr>
            </w:pPr>
          </w:p>
        </w:tc>
        <w:tc>
          <w:tcPr>
            <w:tcW w:w="1050" w:type="dxa"/>
            <w:tcBorders>
              <w:top w:val="nil"/>
              <w:left w:val="nil"/>
              <w:bottom w:val="nil"/>
              <w:right w:val="nil"/>
            </w:tcBorders>
            <w:shd w:val="clear" w:color="auto" w:fill="FFFFFF"/>
            <w:noWrap/>
            <w:vAlign w:val="bottom"/>
          </w:tcPr>
          <w:p>
            <w:pPr>
              <w:rPr>
                <w:rFonts w:hint="eastAsia" w:ascii="宋体" w:hAnsi="宋体" w:eastAsia="宋体" w:cs="宋体"/>
                <w:sz w:val="18"/>
                <w:szCs w:val="18"/>
              </w:rPr>
            </w:pPr>
          </w:p>
        </w:tc>
        <w:tc>
          <w:tcPr>
            <w:tcW w:w="4387" w:type="dxa"/>
            <w:gridSpan w:val="4"/>
            <w:tcBorders>
              <w:top w:val="nil"/>
              <w:left w:val="nil"/>
              <w:bottom w:val="nil"/>
              <w:right w:val="nil"/>
            </w:tcBorders>
            <w:shd w:val="clear" w:color="auto" w:fill="FFFFFF"/>
            <w:noWrap/>
            <w:vAlign w:val="bottom"/>
          </w:tcPr>
          <w:p>
            <w:pPr>
              <w:ind w:firstLine="3240" w:firstLineChars="1800"/>
              <w:rPr>
                <w:rFonts w:hint="eastAsia" w:ascii="宋体" w:hAnsi="宋体" w:eastAsia="宋体" w:cs="宋体"/>
                <w:sz w:val="18"/>
                <w:szCs w:val="18"/>
              </w:rPr>
            </w:pPr>
            <w:r>
              <w:rPr>
                <w:rFonts w:hint="eastAsia" w:ascii="宋体" w:hAnsi="宋体" w:eastAsia="宋体" w:cs="宋体"/>
                <w:sz w:val="18"/>
                <w:szCs w:val="18"/>
              </w:rPr>
              <w:t>公开03表</w:t>
            </w:r>
          </w:p>
        </w:tc>
      </w:tr>
      <w:tr>
        <w:tblPrEx>
          <w:tblCellMar>
            <w:top w:w="0" w:type="dxa"/>
            <w:left w:w="108" w:type="dxa"/>
            <w:bottom w:w="0" w:type="dxa"/>
            <w:right w:w="108" w:type="dxa"/>
          </w:tblCellMar>
        </w:tblPrEx>
        <w:trPr>
          <w:trHeight w:val="91" w:hRule="atLeast"/>
          <w:jc w:val="center"/>
        </w:trPr>
        <w:tc>
          <w:tcPr>
            <w:tcW w:w="3187" w:type="dxa"/>
            <w:gridSpan w:val="2"/>
            <w:tcBorders>
              <w:top w:val="nil"/>
              <w:left w:val="nil"/>
              <w:bottom w:val="nil"/>
              <w:right w:val="nil"/>
            </w:tcBorders>
            <w:shd w:val="clear" w:color="auto" w:fill="FFFFFF"/>
            <w:noWrap/>
            <w:vAlign w:val="bottom"/>
          </w:tcPr>
          <w:p>
            <w:pPr>
              <w:rPr>
                <w:rFonts w:hint="eastAsia" w:ascii="宋体" w:hAnsi="宋体" w:eastAsia="宋体" w:cs="宋体"/>
                <w:sz w:val="18"/>
                <w:szCs w:val="18"/>
              </w:rPr>
            </w:pPr>
            <w:r>
              <w:rPr>
                <w:rFonts w:hint="eastAsia" w:ascii="宋体" w:hAnsi="宋体" w:eastAsia="宋体" w:cs="宋体"/>
                <w:sz w:val="18"/>
                <w:szCs w:val="18"/>
              </w:rPr>
              <w:t>部门：邯郸市农业科学院（汇总）</w:t>
            </w:r>
          </w:p>
        </w:tc>
        <w:tc>
          <w:tcPr>
            <w:tcW w:w="1110" w:type="dxa"/>
            <w:tcBorders>
              <w:top w:val="nil"/>
              <w:left w:val="nil"/>
              <w:bottom w:val="nil"/>
              <w:right w:val="nil"/>
            </w:tcBorders>
            <w:shd w:val="clear" w:color="auto" w:fill="FFFFFF"/>
            <w:noWrap/>
            <w:vAlign w:val="bottom"/>
          </w:tcPr>
          <w:p>
            <w:pPr>
              <w:rPr>
                <w:rFonts w:hint="eastAsia" w:ascii="宋体" w:hAnsi="宋体" w:eastAsia="宋体" w:cs="宋体"/>
                <w:sz w:val="18"/>
                <w:szCs w:val="18"/>
              </w:rPr>
            </w:pPr>
          </w:p>
        </w:tc>
        <w:tc>
          <w:tcPr>
            <w:tcW w:w="1050" w:type="dxa"/>
            <w:tcBorders>
              <w:top w:val="nil"/>
              <w:left w:val="nil"/>
              <w:bottom w:val="nil"/>
              <w:right w:val="nil"/>
            </w:tcBorders>
            <w:shd w:val="clear" w:color="auto" w:fill="FFFFFF"/>
            <w:noWrap/>
            <w:vAlign w:val="bottom"/>
          </w:tcPr>
          <w:p>
            <w:pPr>
              <w:rPr>
                <w:rFonts w:hint="eastAsia" w:ascii="宋体" w:hAnsi="宋体" w:eastAsia="宋体" w:cs="宋体"/>
                <w:sz w:val="18"/>
                <w:szCs w:val="18"/>
              </w:rPr>
            </w:pPr>
          </w:p>
        </w:tc>
        <w:tc>
          <w:tcPr>
            <w:tcW w:w="1230" w:type="dxa"/>
            <w:tcBorders>
              <w:top w:val="nil"/>
              <w:left w:val="nil"/>
              <w:bottom w:val="nil"/>
              <w:right w:val="nil"/>
            </w:tcBorders>
            <w:shd w:val="clear" w:color="auto" w:fill="FFFFFF"/>
            <w:noWrap/>
            <w:vAlign w:val="bottom"/>
          </w:tcPr>
          <w:p>
            <w:pPr>
              <w:rPr>
                <w:rFonts w:hint="eastAsia" w:ascii="宋体" w:hAnsi="宋体" w:eastAsia="宋体" w:cs="宋体"/>
                <w:sz w:val="18"/>
                <w:szCs w:val="18"/>
              </w:rPr>
            </w:pPr>
          </w:p>
        </w:tc>
        <w:tc>
          <w:tcPr>
            <w:tcW w:w="3157" w:type="dxa"/>
            <w:gridSpan w:val="3"/>
            <w:tcBorders>
              <w:top w:val="nil"/>
              <w:left w:val="nil"/>
              <w:bottom w:val="nil"/>
              <w:right w:val="nil"/>
            </w:tcBorders>
            <w:shd w:val="clear" w:color="auto" w:fill="FFFFFF"/>
            <w:noWrap/>
            <w:vAlign w:val="bottom"/>
          </w:tcPr>
          <w:p>
            <w:pPr>
              <w:ind w:firstLine="1620" w:firstLineChars="900"/>
              <w:rPr>
                <w:rFonts w:hint="eastAsia" w:ascii="宋体" w:hAnsi="宋体" w:eastAsia="宋体" w:cs="宋体"/>
                <w:sz w:val="18"/>
                <w:szCs w:val="18"/>
              </w:rPr>
            </w:pPr>
            <w:r>
              <w:rPr>
                <w:rFonts w:hint="eastAsia" w:ascii="宋体" w:hAnsi="宋体" w:eastAsia="宋体" w:cs="宋体"/>
                <w:sz w:val="18"/>
                <w:szCs w:val="18"/>
              </w:rPr>
              <w:t>金额单位：万元</w:t>
            </w:r>
          </w:p>
        </w:tc>
      </w:tr>
      <w:tr>
        <w:tblPrEx>
          <w:tblCellMar>
            <w:top w:w="0" w:type="dxa"/>
            <w:left w:w="108" w:type="dxa"/>
            <w:bottom w:w="0" w:type="dxa"/>
            <w:right w:w="108" w:type="dxa"/>
          </w:tblCellMar>
        </w:tblPrEx>
        <w:trPr>
          <w:trHeight w:val="91" w:hRule="atLeast"/>
          <w:jc w:val="center"/>
        </w:trPr>
        <w:tc>
          <w:tcPr>
            <w:tcW w:w="318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w:t>
            </w:r>
          </w:p>
        </w:tc>
        <w:tc>
          <w:tcPr>
            <w:tcW w:w="1110"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本年支出合计</w:t>
            </w:r>
          </w:p>
        </w:tc>
        <w:tc>
          <w:tcPr>
            <w:tcW w:w="1050"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基本支出</w:t>
            </w:r>
          </w:p>
        </w:tc>
        <w:tc>
          <w:tcPr>
            <w:tcW w:w="1230"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项目支出</w:t>
            </w:r>
          </w:p>
        </w:tc>
        <w:tc>
          <w:tcPr>
            <w:tcW w:w="1035"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上缴上级支出</w:t>
            </w:r>
          </w:p>
        </w:tc>
        <w:tc>
          <w:tcPr>
            <w:tcW w:w="945"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经营支出</w:t>
            </w:r>
          </w:p>
        </w:tc>
        <w:tc>
          <w:tcPr>
            <w:tcW w:w="1177"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对附属单位补助支出</w:t>
            </w:r>
          </w:p>
        </w:tc>
      </w:tr>
      <w:tr>
        <w:tblPrEx>
          <w:tblCellMar>
            <w:top w:w="0" w:type="dxa"/>
            <w:left w:w="108" w:type="dxa"/>
            <w:bottom w:w="0" w:type="dxa"/>
            <w:right w:w="108" w:type="dxa"/>
          </w:tblCellMar>
        </w:tblPrEx>
        <w:trPr>
          <w:trHeight w:val="312" w:hRule="atLeast"/>
          <w:jc w:val="center"/>
        </w:trPr>
        <w:tc>
          <w:tcPr>
            <w:tcW w:w="871"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功能分类科目编码</w:t>
            </w:r>
          </w:p>
        </w:tc>
        <w:tc>
          <w:tcPr>
            <w:tcW w:w="2316" w:type="dxa"/>
            <w:vMerge w:val="restart"/>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111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p>
        </w:tc>
        <w:tc>
          <w:tcPr>
            <w:tcW w:w="105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p>
        </w:tc>
        <w:tc>
          <w:tcPr>
            <w:tcW w:w="945"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p>
        </w:tc>
        <w:tc>
          <w:tcPr>
            <w:tcW w:w="1177"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12" w:hRule="atLeast"/>
          <w:jc w:val="center"/>
        </w:trPr>
        <w:tc>
          <w:tcPr>
            <w:tcW w:w="871"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2316" w:type="dxa"/>
            <w:vMerge w:val="continue"/>
            <w:tcBorders>
              <w:top w:val="nil"/>
              <w:left w:val="nil"/>
              <w:bottom w:val="single" w:color="000000" w:sz="4" w:space="0"/>
              <w:right w:val="single" w:color="000000" w:sz="4" w:space="0"/>
            </w:tcBorders>
            <w:shd w:val="clear" w:color="auto" w:fill="FFFFFF"/>
            <w:noWrap/>
            <w:vAlign w:val="center"/>
          </w:tcPr>
          <w:p>
            <w:pPr>
              <w:rPr>
                <w:rFonts w:hint="eastAsia" w:ascii="宋体" w:hAnsi="宋体" w:eastAsia="宋体" w:cs="宋体"/>
                <w:sz w:val="18"/>
                <w:szCs w:val="18"/>
              </w:rPr>
            </w:pPr>
          </w:p>
        </w:tc>
        <w:tc>
          <w:tcPr>
            <w:tcW w:w="111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05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94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177"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312" w:hRule="atLeast"/>
          <w:jc w:val="center"/>
        </w:trPr>
        <w:tc>
          <w:tcPr>
            <w:tcW w:w="871"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2316" w:type="dxa"/>
            <w:vMerge w:val="continue"/>
            <w:tcBorders>
              <w:top w:val="nil"/>
              <w:left w:val="nil"/>
              <w:bottom w:val="single" w:color="000000" w:sz="4" w:space="0"/>
              <w:right w:val="single" w:color="000000" w:sz="4" w:space="0"/>
            </w:tcBorders>
            <w:shd w:val="clear" w:color="auto" w:fill="FFFFFF"/>
            <w:noWrap/>
            <w:vAlign w:val="center"/>
          </w:tcPr>
          <w:p>
            <w:pPr>
              <w:rPr>
                <w:rFonts w:hint="eastAsia" w:ascii="宋体" w:hAnsi="宋体" w:eastAsia="宋体" w:cs="宋体"/>
                <w:sz w:val="18"/>
                <w:szCs w:val="18"/>
              </w:rPr>
            </w:pPr>
          </w:p>
        </w:tc>
        <w:tc>
          <w:tcPr>
            <w:tcW w:w="111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05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03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94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c>
          <w:tcPr>
            <w:tcW w:w="1177"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3187"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栏次</w:t>
            </w:r>
          </w:p>
        </w:tc>
        <w:tc>
          <w:tcPr>
            <w:tcW w:w="111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105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123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3</w:t>
            </w:r>
          </w:p>
        </w:tc>
        <w:tc>
          <w:tcPr>
            <w:tcW w:w="103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94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5</w:t>
            </w:r>
          </w:p>
        </w:tc>
        <w:tc>
          <w:tcPr>
            <w:tcW w:w="1177"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6</w:t>
            </w:r>
          </w:p>
        </w:tc>
      </w:tr>
      <w:tr>
        <w:tblPrEx>
          <w:tblCellMar>
            <w:top w:w="0" w:type="dxa"/>
            <w:left w:w="108" w:type="dxa"/>
            <w:bottom w:w="0" w:type="dxa"/>
            <w:right w:w="108" w:type="dxa"/>
          </w:tblCellMar>
        </w:tblPrEx>
        <w:trPr>
          <w:trHeight w:val="91" w:hRule="atLeast"/>
          <w:jc w:val="center"/>
        </w:trPr>
        <w:tc>
          <w:tcPr>
            <w:tcW w:w="3187"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合计</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3,701.07</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2,124.82</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1,576.26</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科学技术支出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3,158.47</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1,582.21</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1,576.26</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20603</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应用研究</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2,061.49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1,582.21</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479.28</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2060302</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社会公益研究</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2,061.49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1,582.21</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479.28</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20604</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技术研究与开发</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841.24</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841.24</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2060404</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科技成果转化与扩散</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52.89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52.89</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2060499</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其他技术研究与开发支出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788.35</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788.35</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20605</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科技条件与服务</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219.44</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219.44</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2060503</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科技条件专项</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119.44</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119.44</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2060599</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其他科技条件与服务支出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100.00</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100.00</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20607</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科学技术普及</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3.00</w:t>
            </w:r>
          </w:p>
        </w:tc>
        <w:tc>
          <w:tcPr>
            <w:tcW w:w="1050" w:type="dxa"/>
            <w:tcBorders>
              <w:top w:val="nil"/>
              <w:left w:val="nil"/>
              <w:bottom w:val="single" w:color="000000" w:sz="4" w:space="0"/>
              <w:right w:val="single" w:color="000000" w:sz="4" w:space="0"/>
            </w:tcBorders>
            <w:shd w:val="clear" w:color="auto" w:fill="FFFFFF"/>
            <w:noWrap/>
            <w:vAlign w:val="center"/>
          </w:tcPr>
          <w:p>
            <w:pP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3.00</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2060799</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其他科学技术普及支出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3.00</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3.00</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20699</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其他科学技术支出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33.29</w:t>
            </w:r>
          </w:p>
        </w:tc>
        <w:tc>
          <w:tcPr>
            <w:tcW w:w="1050" w:type="dxa"/>
            <w:tcBorders>
              <w:top w:val="nil"/>
              <w:left w:val="nil"/>
              <w:bottom w:val="single" w:color="000000" w:sz="4" w:space="0"/>
              <w:right w:val="single" w:color="000000" w:sz="4" w:space="0"/>
            </w:tcBorders>
            <w:shd w:val="clear" w:color="auto" w:fill="FFFFFF"/>
            <w:noWrap/>
            <w:vAlign w:val="center"/>
          </w:tcPr>
          <w:p>
            <w:pP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33.29</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2069901</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科技奖励</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20.00</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20.00</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2069999</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其他科学技术支出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13.29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13.29</w:t>
            </w: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208</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社会保障和就业支出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271.39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271.39</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20805</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行政事业单位养老支出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271.39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271.39</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2080502</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事业单位离退休</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95.32</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95.32</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2080505</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机关事业单位基本养老保险缴费支出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175.69</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175.69</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2080506</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机关事业单位职业年金缴费支出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0.38</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0.38</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210</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卫生健康支出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159.08</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159.08</w:t>
            </w:r>
          </w:p>
        </w:tc>
        <w:tc>
          <w:tcPr>
            <w:tcW w:w="1230" w:type="dxa"/>
            <w:tcBorders>
              <w:top w:val="nil"/>
              <w:left w:val="nil"/>
              <w:bottom w:val="single" w:color="000000" w:sz="4" w:space="0"/>
              <w:right w:val="single" w:color="000000" w:sz="4" w:space="0"/>
            </w:tcBorders>
            <w:shd w:val="clear" w:color="auto" w:fill="FFFFFF"/>
            <w:noWrap/>
            <w:vAlign w:val="center"/>
          </w:tcPr>
          <w:p>
            <w:pP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21011</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行政事业单位医疗</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159.08</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159.08</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2101102</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事业单位医疗</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159.08</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159.08</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221</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住房保障支出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112.13</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112.13</w:t>
            </w:r>
          </w:p>
        </w:tc>
        <w:tc>
          <w:tcPr>
            <w:tcW w:w="1230" w:type="dxa"/>
            <w:tcBorders>
              <w:top w:val="nil"/>
              <w:left w:val="nil"/>
              <w:bottom w:val="single" w:color="000000" w:sz="4" w:space="0"/>
              <w:right w:val="single" w:color="000000" w:sz="4" w:space="0"/>
            </w:tcBorders>
            <w:shd w:val="clear" w:color="auto" w:fill="FFFFFF"/>
            <w:noWrap/>
            <w:vAlign w:val="center"/>
          </w:tcPr>
          <w:p>
            <w:pP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22102</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住房改革支出</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112.13</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112.13</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87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2210201</w:t>
            </w:r>
          </w:p>
        </w:tc>
        <w:tc>
          <w:tcPr>
            <w:tcW w:w="23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住房公积金</w:t>
            </w:r>
          </w:p>
        </w:tc>
        <w:tc>
          <w:tcPr>
            <w:tcW w:w="111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112.13</w:t>
            </w:r>
          </w:p>
        </w:tc>
        <w:tc>
          <w:tcPr>
            <w:tcW w:w="105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r>
              <w:rPr>
                <w:rFonts w:hint="eastAsia" w:ascii="宋体" w:hAnsi="宋体" w:eastAsia="宋体" w:cs="宋体"/>
                <w:sz w:val="18"/>
                <w:szCs w:val="18"/>
              </w:rPr>
              <w:t>112.13</w:t>
            </w:r>
          </w:p>
        </w:tc>
        <w:tc>
          <w:tcPr>
            <w:tcW w:w="123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03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94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c>
          <w:tcPr>
            <w:tcW w:w="1177"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91" w:hRule="atLeast"/>
          <w:jc w:val="center"/>
        </w:trPr>
        <w:tc>
          <w:tcPr>
            <w:tcW w:w="9734" w:type="dxa"/>
            <w:gridSpan w:val="8"/>
            <w:tcBorders>
              <w:top w:val="nil"/>
              <w:left w:val="nil"/>
              <w:bottom w:val="nil"/>
              <w:right w:val="nil"/>
            </w:tcBorders>
            <w:shd w:val="clear" w:color="auto" w:fill="FFFFFF"/>
            <w:noWrap/>
            <w:vAlign w:val="center"/>
          </w:tcPr>
          <w:p>
            <w:pPr>
              <w:rPr>
                <w:rFonts w:hint="eastAsia" w:ascii="宋体" w:hAnsi="宋体" w:eastAsia="宋体" w:cs="宋体"/>
                <w:sz w:val="18"/>
                <w:szCs w:val="18"/>
              </w:rPr>
            </w:pPr>
            <w:r>
              <w:rPr>
                <w:rFonts w:hint="eastAsia" w:ascii="宋体" w:hAnsi="宋体" w:eastAsia="宋体" w:cs="宋体"/>
                <w:sz w:val="18"/>
                <w:szCs w:val="18"/>
              </w:rPr>
              <w:t>注：本表反映部门本年度各项支出情况。</w:t>
            </w:r>
          </w:p>
        </w:tc>
      </w:tr>
    </w:tbl>
    <w:p/>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widowControl/>
        <w:jc w:val="center"/>
        <w:textAlignment w:val="bottom"/>
        <w:rPr>
          <w:rFonts w:hint="eastAsia" w:ascii="黑体" w:hAnsi="宋体" w:eastAsia="黑体" w:cs="黑体"/>
          <w:color w:val="000000"/>
          <w:kern w:val="0"/>
          <w:sz w:val="28"/>
          <w:szCs w:val="28"/>
        </w:rPr>
        <w:sectPr>
          <w:pgSz w:w="11906" w:h="16838"/>
          <w:pgMar w:top="1440" w:right="1800" w:bottom="1440" w:left="1800" w:header="851" w:footer="992" w:gutter="0"/>
          <w:cols w:space="720" w:num="1"/>
          <w:docGrid w:type="lines" w:linePitch="312" w:charSpace="0"/>
        </w:sectPr>
      </w:pPr>
    </w:p>
    <w:tbl>
      <w:tblPr>
        <w:tblStyle w:val="6"/>
        <w:tblW w:w="10964" w:type="dxa"/>
        <w:jc w:val="center"/>
        <w:shd w:val="clear" w:color="auto" w:fill="FFFFFF"/>
        <w:tblLayout w:type="fixed"/>
        <w:tblCellMar>
          <w:top w:w="0" w:type="dxa"/>
          <w:left w:w="108" w:type="dxa"/>
          <w:bottom w:w="0" w:type="dxa"/>
          <w:right w:w="108" w:type="dxa"/>
        </w:tblCellMar>
      </w:tblPr>
      <w:tblGrid>
        <w:gridCol w:w="2775"/>
        <w:gridCol w:w="373"/>
        <w:gridCol w:w="900"/>
        <w:gridCol w:w="2312"/>
        <w:gridCol w:w="373"/>
        <w:gridCol w:w="915"/>
        <w:gridCol w:w="1035"/>
        <w:gridCol w:w="1125"/>
        <w:gridCol w:w="1156"/>
      </w:tblGrid>
      <w:tr>
        <w:tblPrEx>
          <w:shd w:val="clear" w:color="auto" w:fill="FFFFFF"/>
          <w:tblCellMar>
            <w:top w:w="0" w:type="dxa"/>
            <w:left w:w="108" w:type="dxa"/>
            <w:bottom w:w="0" w:type="dxa"/>
            <w:right w:w="108" w:type="dxa"/>
          </w:tblCellMar>
        </w:tblPrEx>
        <w:trPr>
          <w:trHeight w:val="459" w:hRule="atLeast"/>
          <w:jc w:val="center"/>
        </w:trPr>
        <w:tc>
          <w:tcPr>
            <w:tcW w:w="10964" w:type="dxa"/>
            <w:gridSpan w:val="9"/>
            <w:tcBorders>
              <w:top w:val="nil"/>
              <w:left w:val="nil"/>
              <w:bottom w:val="nil"/>
              <w:right w:val="nil"/>
            </w:tcBorders>
            <w:shd w:val="clear" w:color="auto" w:fill="FFFFFF"/>
            <w:noWrap/>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财政拨款收入支出决算总表</w:t>
            </w:r>
          </w:p>
        </w:tc>
      </w:tr>
      <w:tr>
        <w:tblPrEx>
          <w:tblCellMar>
            <w:top w:w="0" w:type="dxa"/>
            <w:left w:w="108" w:type="dxa"/>
            <w:bottom w:w="0" w:type="dxa"/>
            <w:right w:w="108" w:type="dxa"/>
          </w:tblCellMar>
        </w:tblPrEx>
        <w:trPr>
          <w:trHeight w:val="173" w:hRule="atLeast"/>
          <w:jc w:val="center"/>
        </w:trPr>
        <w:tc>
          <w:tcPr>
            <w:tcW w:w="2775"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373"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900"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2312"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373"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915"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3316" w:type="dxa"/>
            <w:gridSpan w:val="3"/>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公开04表</w:t>
            </w:r>
          </w:p>
        </w:tc>
      </w:tr>
      <w:tr>
        <w:tblPrEx>
          <w:tblCellMar>
            <w:top w:w="0" w:type="dxa"/>
            <w:left w:w="108" w:type="dxa"/>
            <w:bottom w:w="0" w:type="dxa"/>
            <w:right w:w="108" w:type="dxa"/>
          </w:tblCellMar>
        </w:tblPrEx>
        <w:trPr>
          <w:trHeight w:val="173" w:hRule="atLeast"/>
          <w:jc w:val="center"/>
        </w:trPr>
        <w:tc>
          <w:tcPr>
            <w:tcW w:w="4048" w:type="dxa"/>
            <w:gridSpan w:val="3"/>
            <w:tcBorders>
              <w:top w:val="nil"/>
              <w:left w:val="nil"/>
              <w:bottom w:val="nil"/>
              <w:right w:val="nil"/>
            </w:tcBorders>
            <w:shd w:val="clear" w:color="auto" w:fill="FFFFFF"/>
            <w:noWrap/>
            <w:vAlign w:val="bottom"/>
          </w:tcPr>
          <w:p>
            <w:pPr>
              <w:widowControl/>
              <w:jc w:val="lef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部门：邯郸市农业科学院（汇总）</w:t>
            </w:r>
          </w:p>
        </w:tc>
        <w:tc>
          <w:tcPr>
            <w:tcW w:w="2312"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373" w:type="dxa"/>
            <w:tcBorders>
              <w:top w:val="nil"/>
              <w:left w:val="nil"/>
              <w:bottom w:val="nil"/>
              <w:right w:val="nil"/>
            </w:tcBorders>
            <w:shd w:val="clear" w:color="auto" w:fill="FFFFFF"/>
            <w:noWrap/>
            <w:vAlign w:val="bottom"/>
          </w:tcPr>
          <w:p>
            <w:pPr>
              <w:rPr>
                <w:rFonts w:hint="eastAsia" w:ascii="宋体" w:hAnsi="宋体" w:eastAsia="宋体" w:cs="宋体"/>
                <w:color w:val="000000"/>
                <w:sz w:val="15"/>
                <w:szCs w:val="15"/>
              </w:rPr>
            </w:pPr>
          </w:p>
        </w:tc>
        <w:tc>
          <w:tcPr>
            <w:tcW w:w="4231" w:type="dxa"/>
            <w:gridSpan w:val="4"/>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5"/>
                <w:szCs w:val="15"/>
              </w:rPr>
            </w:pPr>
            <w:r>
              <w:rPr>
                <w:rFonts w:hint="eastAsia" w:ascii="宋体" w:hAnsi="宋体" w:eastAsia="宋体" w:cs="宋体"/>
                <w:color w:val="000000"/>
                <w:kern w:val="0"/>
                <w:sz w:val="15"/>
                <w:szCs w:val="15"/>
              </w:rPr>
              <w:t>金额单位：万元</w:t>
            </w:r>
          </w:p>
        </w:tc>
      </w:tr>
      <w:tr>
        <w:tblPrEx>
          <w:tblCellMar>
            <w:top w:w="0" w:type="dxa"/>
            <w:left w:w="108" w:type="dxa"/>
            <w:bottom w:w="0" w:type="dxa"/>
            <w:right w:w="108" w:type="dxa"/>
          </w:tblCellMar>
        </w:tblPrEx>
        <w:trPr>
          <w:trHeight w:val="178" w:hRule="atLeast"/>
          <w:jc w:val="center"/>
        </w:trPr>
        <w:tc>
          <w:tcPr>
            <w:tcW w:w="404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收     入</w:t>
            </w:r>
          </w:p>
        </w:tc>
        <w:tc>
          <w:tcPr>
            <w:tcW w:w="6916" w:type="dxa"/>
            <w:gridSpan w:val="6"/>
            <w:tcBorders>
              <w:top w:val="single" w:color="000000" w:sz="4" w:space="0"/>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支     出</w:t>
            </w:r>
          </w:p>
        </w:tc>
      </w:tr>
      <w:tr>
        <w:tblPrEx>
          <w:tblCellMar>
            <w:top w:w="0" w:type="dxa"/>
            <w:left w:w="108" w:type="dxa"/>
            <w:bottom w:w="0" w:type="dxa"/>
            <w:right w:w="108" w:type="dxa"/>
          </w:tblCellMar>
        </w:tblPrEx>
        <w:trPr>
          <w:trHeight w:val="312" w:hRule="atLeast"/>
          <w:jc w:val="center"/>
        </w:trPr>
        <w:tc>
          <w:tcPr>
            <w:tcW w:w="2775"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项目</w:t>
            </w:r>
          </w:p>
        </w:tc>
        <w:tc>
          <w:tcPr>
            <w:tcW w:w="373"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行次</w:t>
            </w:r>
          </w:p>
        </w:tc>
        <w:tc>
          <w:tcPr>
            <w:tcW w:w="90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金额</w:t>
            </w:r>
          </w:p>
        </w:tc>
        <w:tc>
          <w:tcPr>
            <w:tcW w:w="2312"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项目</w:t>
            </w:r>
          </w:p>
        </w:tc>
        <w:tc>
          <w:tcPr>
            <w:tcW w:w="373"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行次</w:t>
            </w:r>
          </w:p>
        </w:tc>
        <w:tc>
          <w:tcPr>
            <w:tcW w:w="915" w:type="dxa"/>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合计</w:t>
            </w:r>
          </w:p>
        </w:tc>
        <w:tc>
          <w:tcPr>
            <w:tcW w:w="103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一般公共预算财政拨款</w:t>
            </w:r>
          </w:p>
        </w:tc>
        <w:tc>
          <w:tcPr>
            <w:tcW w:w="112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政府性基金预算财政拨款</w:t>
            </w:r>
          </w:p>
        </w:tc>
        <w:tc>
          <w:tcPr>
            <w:tcW w:w="115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国有资本经营预算财政拨款</w:t>
            </w:r>
          </w:p>
        </w:tc>
      </w:tr>
      <w:tr>
        <w:tblPrEx>
          <w:tblCellMar>
            <w:top w:w="0" w:type="dxa"/>
            <w:left w:w="108" w:type="dxa"/>
            <w:bottom w:w="0" w:type="dxa"/>
            <w:right w:w="108" w:type="dxa"/>
          </w:tblCellMar>
        </w:tblPrEx>
        <w:trPr>
          <w:trHeight w:val="374" w:hRule="atLeast"/>
          <w:jc w:val="center"/>
        </w:trPr>
        <w:tc>
          <w:tcPr>
            <w:tcW w:w="277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37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9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2312"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37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91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5"/>
                <w:szCs w:val="15"/>
              </w:rPr>
            </w:pPr>
          </w:p>
        </w:tc>
        <w:tc>
          <w:tcPr>
            <w:tcW w:w="103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11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c>
          <w:tcPr>
            <w:tcW w:w="11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栏次</w:t>
            </w:r>
          </w:p>
        </w:tc>
        <w:tc>
          <w:tcPr>
            <w:tcW w:w="37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5"/>
                <w:szCs w:val="15"/>
              </w:rPr>
            </w:pPr>
          </w:p>
        </w:tc>
        <w:tc>
          <w:tcPr>
            <w:tcW w:w="9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w:t>
            </w:r>
          </w:p>
        </w:tc>
        <w:tc>
          <w:tcPr>
            <w:tcW w:w="231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栏次</w:t>
            </w:r>
          </w:p>
        </w:tc>
        <w:tc>
          <w:tcPr>
            <w:tcW w:w="37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5"/>
                <w:szCs w:val="15"/>
              </w:rPr>
            </w:pPr>
          </w:p>
        </w:tc>
        <w:tc>
          <w:tcPr>
            <w:tcW w:w="91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w:t>
            </w:r>
          </w:p>
        </w:tc>
        <w:tc>
          <w:tcPr>
            <w:tcW w:w="1156"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w:t>
            </w: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一、一般公共预算财政拨款</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2,922.14</w:t>
            </w: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一、一般公共服务支出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33</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二、政府性基金预算财政拨款</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116.00</w:t>
            </w: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二、外交支出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34</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三、国有资本经营财政拨款</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三、国防支出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35</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四、公共安全支出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36</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五、教育支出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37</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6</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六、科学技术支出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38</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2,589.16</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2,589.16</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7</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七、文化旅游体育与传媒支出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39</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8</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八、社会保障和就业支出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40</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271.39</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271.39</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9</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九、卫生健康支出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41</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159.08</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159.08</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10</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十、节能环保支出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42</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11</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十一、城乡社区支出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43</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12</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十二、农林水支出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44</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13</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十三、交通运输支出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45</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14</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十四、资源勘探工业信息等支出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46</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15</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十五、商业服务业等支出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47</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16</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十六、金融支出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48</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17</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十七、援助其他地区支出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49</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18</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十八、自然资源海洋气象等支出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50</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19</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十九、住房保障支出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51</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112.13</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112.13</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20</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二十、粮油物资储备支出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52</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21</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二十一、国有资本经营预算支出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53</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351"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22</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二十二、灾害防治及应急管理支出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54</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23</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二十三、其他支出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55</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24</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二十四、债务还本支出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56</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25</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二十五、债务付息支出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57</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351"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26</w:t>
            </w:r>
          </w:p>
        </w:tc>
        <w:tc>
          <w:tcPr>
            <w:tcW w:w="9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二十六、抗疫特别国债安排的支出</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58</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5"/>
                <w:szCs w:val="15"/>
              </w:rPr>
            </w:pPr>
            <w:r>
              <w:rPr>
                <w:rFonts w:hint="eastAsia" w:ascii="宋体" w:hAnsi="宋体" w:eastAsia="宋体" w:cs="宋体"/>
                <w:b/>
                <w:bCs/>
                <w:color w:val="000000"/>
                <w:kern w:val="0"/>
                <w:sz w:val="15"/>
                <w:szCs w:val="15"/>
              </w:rPr>
              <w:t>本年收入合计</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27</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3,038.14</w:t>
            </w:r>
          </w:p>
        </w:tc>
        <w:tc>
          <w:tcPr>
            <w:tcW w:w="231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5"/>
                <w:szCs w:val="15"/>
              </w:rPr>
            </w:pPr>
            <w:r>
              <w:rPr>
                <w:rFonts w:hint="eastAsia" w:ascii="宋体" w:hAnsi="宋体" w:eastAsia="宋体" w:cs="宋体"/>
                <w:b/>
                <w:bCs/>
                <w:color w:val="000000"/>
                <w:kern w:val="0"/>
                <w:sz w:val="15"/>
                <w:szCs w:val="15"/>
              </w:rPr>
              <w:t>本年支出合计</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59</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3,131.76</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3,131.76</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年初财政拨款结转和结余</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28</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585.99</w:t>
            </w:r>
          </w:p>
        </w:tc>
        <w:tc>
          <w:tcPr>
            <w:tcW w:w="2312"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年末财政拨款结转和结余</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60</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492.37</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376.37</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116.00</w:t>
            </w: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一般公共预算财政拨款</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29</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585.99</w:t>
            </w:r>
          </w:p>
        </w:tc>
        <w:tc>
          <w:tcPr>
            <w:tcW w:w="231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61</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政府性基金预算财政拨款</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30</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62</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351"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 xml:space="preserve">  国有资本经营预算财政拨款</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31</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c>
          <w:tcPr>
            <w:tcW w:w="231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5"/>
                <w:szCs w:val="15"/>
              </w:rPr>
            </w:pP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63</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c>
          <w:tcPr>
            <w:tcW w:w="11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78" w:hRule="atLeast"/>
          <w:jc w:val="center"/>
        </w:trPr>
        <w:tc>
          <w:tcPr>
            <w:tcW w:w="2775"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5"/>
                <w:szCs w:val="15"/>
              </w:rPr>
            </w:pPr>
            <w:r>
              <w:rPr>
                <w:rFonts w:hint="eastAsia" w:ascii="宋体" w:hAnsi="宋体" w:eastAsia="宋体" w:cs="宋体"/>
                <w:b/>
                <w:bCs/>
                <w:color w:val="000000"/>
                <w:kern w:val="0"/>
                <w:sz w:val="15"/>
                <w:szCs w:val="15"/>
              </w:rPr>
              <w:t>总计</w:t>
            </w:r>
          </w:p>
        </w:tc>
        <w:tc>
          <w:tcPr>
            <w:tcW w:w="373" w:type="dxa"/>
            <w:tcBorders>
              <w:top w:val="nil"/>
              <w:left w:val="nil"/>
              <w:bottom w:val="single" w:color="000000" w:sz="8"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32</w:t>
            </w:r>
          </w:p>
        </w:tc>
        <w:tc>
          <w:tcPr>
            <w:tcW w:w="9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3,624.14</w:t>
            </w:r>
          </w:p>
        </w:tc>
        <w:tc>
          <w:tcPr>
            <w:tcW w:w="2312"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5"/>
                <w:szCs w:val="15"/>
              </w:rPr>
            </w:pPr>
            <w:r>
              <w:rPr>
                <w:rFonts w:hint="eastAsia" w:ascii="宋体" w:hAnsi="宋体" w:eastAsia="宋体" w:cs="宋体"/>
                <w:b/>
                <w:bCs/>
                <w:color w:val="000000"/>
                <w:kern w:val="0"/>
                <w:sz w:val="15"/>
                <w:szCs w:val="15"/>
              </w:rPr>
              <w:t>总计</w:t>
            </w:r>
          </w:p>
        </w:tc>
        <w:tc>
          <w:tcPr>
            <w:tcW w:w="373"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64</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3,624.14</w:t>
            </w: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3,508.14</w:t>
            </w:r>
          </w:p>
        </w:tc>
        <w:tc>
          <w:tcPr>
            <w:tcW w:w="11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116.00</w:t>
            </w:r>
          </w:p>
        </w:tc>
        <w:tc>
          <w:tcPr>
            <w:tcW w:w="115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5"/>
                <w:szCs w:val="15"/>
              </w:rPr>
            </w:pPr>
          </w:p>
        </w:tc>
      </w:tr>
      <w:tr>
        <w:tblPrEx>
          <w:tblCellMar>
            <w:top w:w="0" w:type="dxa"/>
            <w:left w:w="108" w:type="dxa"/>
            <w:bottom w:w="0" w:type="dxa"/>
            <w:right w:w="108" w:type="dxa"/>
          </w:tblCellMar>
        </w:tblPrEx>
        <w:trPr>
          <w:trHeight w:val="184" w:hRule="atLeast"/>
          <w:jc w:val="center"/>
        </w:trPr>
        <w:tc>
          <w:tcPr>
            <w:tcW w:w="10964" w:type="dxa"/>
            <w:gridSpan w:val="9"/>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15"/>
                <w:szCs w:val="15"/>
              </w:rPr>
            </w:pPr>
            <w:r>
              <w:rPr>
                <w:rFonts w:hint="eastAsia" w:ascii="宋体" w:hAnsi="宋体" w:eastAsia="宋体" w:cs="宋体"/>
                <w:color w:val="000000"/>
                <w:kern w:val="0"/>
                <w:sz w:val="15"/>
                <w:szCs w:val="15"/>
              </w:rPr>
              <w:t>注：本表反映部门本年度一般公共预算财政拨款、政府性基金预算财政拨款和国有资本经营预算财政拨款的总收支和年末结转结余情况。</w:t>
            </w:r>
          </w:p>
        </w:tc>
      </w:tr>
    </w:tbl>
    <w:p>
      <w:pPr>
        <w:widowControl/>
        <w:jc w:val="center"/>
        <w:textAlignment w:val="bottom"/>
        <w:rPr>
          <w:rFonts w:hint="eastAsia" w:ascii="黑体" w:hAnsi="宋体" w:eastAsia="黑体" w:cs="黑体"/>
          <w:color w:val="000000"/>
          <w:kern w:val="0"/>
          <w:sz w:val="28"/>
          <w:szCs w:val="28"/>
        </w:rPr>
        <w:sectPr>
          <w:pgSz w:w="11906" w:h="16838"/>
          <w:pgMar w:top="1440" w:right="1800" w:bottom="1440" w:left="1800" w:header="851" w:footer="992" w:gutter="0"/>
          <w:cols w:space="720" w:num="1"/>
          <w:docGrid w:type="lines" w:linePitch="312" w:charSpace="0"/>
        </w:sectPr>
      </w:pPr>
    </w:p>
    <w:tbl>
      <w:tblPr>
        <w:tblStyle w:val="6"/>
        <w:tblW w:w="9595" w:type="dxa"/>
        <w:jc w:val="center"/>
        <w:tblLayout w:type="fixed"/>
        <w:tblCellMar>
          <w:top w:w="0" w:type="dxa"/>
          <w:left w:w="108" w:type="dxa"/>
          <w:bottom w:w="0" w:type="dxa"/>
          <w:right w:w="108" w:type="dxa"/>
        </w:tblCellMar>
      </w:tblPr>
      <w:tblGrid>
        <w:gridCol w:w="330"/>
        <w:gridCol w:w="330"/>
        <w:gridCol w:w="479"/>
        <w:gridCol w:w="3645"/>
        <w:gridCol w:w="1725"/>
        <w:gridCol w:w="1515"/>
        <w:gridCol w:w="1571"/>
      </w:tblGrid>
      <w:tr>
        <w:tblPrEx>
          <w:tblCellMar>
            <w:top w:w="0" w:type="dxa"/>
            <w:left w:w="108" w:type="dxa"/>
            <w:bottom w:w="0" w:type="dxa"/>
            <w:right w:w="108" w:type="dxa"/>
          </w:tblCellMar>
        </w:tblPrEx>
        <w:trPr>
          <w:trHeight w:val="375" w:hRule="atLeast"/>
          <w:jc w:val="center"/>
        </w:trPr>
        <w:tc>
          <w:tcPr>
            <w:tcW w:w="9595" w:type="dxa"/>
            <w:gridSpan w:val="7"/>
            <w:tcBorders>
              <w:top w:val="nil"/>
              <w:left w:val="nil"/>
              <w:bottom w:val="nil"/>
              <w:right w:val="nil"/>
            </w:tcBorders>
            <w:noWrap/>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108" w:type="dxa"/>
            <w:bottom w:w="0" w:type="dxa"/>
            <w:right w:w="108" w:type="dxa"/>
          </w:tblCellMar>
        </w:tblPrEx>
        <w:trPr>
          <w:trHeight w:val="255" w:hRule="atLeast"/>
          <w:jc w:val="center"/>
        </w:trPr>
        <w:tc>
          <w:tcPr>
            <w:tcW w:w="330" w:type="dxa"/>
            <w:tcBorders>
              <w:top w:val="nil"/>
              <w:left w:val="nil"/>
              <w:bottom w:val="nil"/>
              <w:right w:val="nil"/>
            </w:tcBorders>
            <w:noWrap/>
            <w:vAlign w:val="bottom"/>
          </w:tcPr>
          <w:p>
            <w:pPr>
              <w:rPr>
                <w:rFonts w:hint="eastAsia" w:ascii="宋体" w:hAnsi="宋体" w:eastAsia="宋体" w:cs="宋体"/>
                <w:color w:val="000000"/>
                <w:sz w:val="18"/>
                <w:szCs w:val="18"/>
              </w:rPr>
            </w:pPr>
          </w:p>
        </w:tc>
        <w:tc>
          <w:tcPr>
            <w:tcW w:w="330" w:type="dxa"/>
            <w:tcBorders>
              <w:top w:val="nil"/>
              <w:left w:val="nil"/>
              <w:bottom w:val="nil"/>
              <w:right w:val="nil"/>
            </w:tcBorders>
            <w:noWrap/>
            <w:vAlign w:val="bottom"/>
          </w:tcPr>
          <w:p>
            <w:pPr>
              <w:rPr>
                <w:rFonts w:hint="eastAsia" w:ascii="宋体" w:hAnsi="宋体" w:eastAsia="宋体" w:cs="宋体"/>
                <w:color w:val="000000"/>
                <w:sz w:val="18"/>
                <w:szCs w:val="18"/>
              </w:rPr>
            </w:pPr>
          </w:p>
        </w:tc>
        <w:tc>
          <w:tcPr>
            <w:tcW w:w="479" w:type="dxa"/>
            <w:tcBorders>
              <w:top w:val="nil"/>
              <w:left w:val="nil"/>
              <w:bottom w:val="nil"/>
              <w:right w:val="nil"/>
            </w:tcBorders>
            <w:noWrap/>
            <w:vAlign w:val="bottom"/>
          </w:tcPr>
          <w:p>
            <w:pPr>
              <w:rPr>
                <w:rFonts w:hint="eastAsia" w:ascii="宋体" w:hAnsi="宋体" w:eastAsia="宋体" w:cs="宋体"/>
                <w:color w:val="000000"/>
                <w:sz w:val="18"/>
                <w:szCs w:val="18"/>
              </w:rPr>
            </w:pPr>
          </w:p>
        </w:tc>
        <w:tc>
          <w:tcPr>
            <w:tcW w:w="3645" w:type="dxa"/>
            <w:tcBorders>
              <w:top w:val="nil"/>
              <w:left w:val="nil"/>
              <w:bottom w:val="nil"/>
              <w:right w:val="nil"/>
            </w:tcBorders>
            <w:noWrap/>
            <w:vAlign w:val="bottom"/>
          </w:tcPr>
          <w:p>
            <w:pPr>
              <w:rPr>
                <w:rFonts w:hint="eastAsia" w:ascii="宋体" w:hAnsi="宋体" w:eastAsia="宋体" w:cs="宋体"/>
                <w:color w:val="000000"/>
                <w:sz w:val="18"/>
                <w:szCs w:val="18"/>
              </w:rPr>
            </w:pPr>
          </w:p>
        </w:tc>
        <w:tc>
          <w:tcPr>
            <w:tcW w:w="1725" w:type="dxa"/>
            <w:tcBorders>
              <w:top w:val="nil"/>
              <w:left w:val="nil"/>
              <w:bottom w:val="nil"/>
              <w:right w:val="nil"/>
            </w:tcBorders>
            <w:noWrap/>
            <w:vAlign w:val="bottom"/>
          </w:tcPr>
          <w:p>
            <w:pPr>
              <w:rPr>
                <w:rFonts w:hint="eastAsia" w:ascii="宋体" w:hAnsi="宋体" w:eastAsia="宋体" w:cs="宋体"/>
                <w:color w:val="000000"/>
                <w:sz w:val="18"/>
                <w:szCs w:val="18"/>
              </w:rPr>
            </w:pPr>
          </w:p>
        </w:tc>
        <w:tc>
          <w:tcPr>
            <w:tcW w:w="3086" w:type="dxa"/>
            <w:gridSpan w:val="2"/>
            <w:tcBorders>
              <w:top w:val="nil"/>
              <w:left w:val="nil"/>
              <w:bottom w:val="nil"/>
              <w:right w:val="nil"/>
            </w:tcBorders>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108" w:type="dxa"/>
            <w:bottom w:w="0" w:type="dxa"/>
            <w:right w:w="108" w:type="dxa"/>
          </w:tblCellMar>
        </w:tblPrEx>
        <w:trPr>
          <w:trHeight w:val="255" w:hRule="atLeast"/>
          <w:jc w:val="center"/>
        </w:trPr>
        <w:tc>
          <w:tcPr>
            <w:tcW w:w="4784" w:type="dxa"/>
            <w:gridSpan w:val="4"/>
            <w:tcBorders>
              <w:top w:val="nil"/>
              <w:left w:val="nil"/>
              <w:bottom w:val="nil"/>
              <w:right w:val="nil"/>
            </w:tcBorders>
            <w:noWrap/>
            <w:vAlign w:val="bottom"/>
          </w:tcPr>
          <w:p>
            <w:pPr>
              <w:widowControl/>
              <w:jc w:val="lef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部门：邯郸市农业科学院（汇总）</w:t>
            </w:r>
          </w:p>
        </w:tc>
        <w:tc>
          <w:tcPr>
            <w:tcW w:w="1725" w:type="dxa"/>
            <w:tcBorders>
              <w:top w:val="nil"/>
              <w:left w:val="nil"/>
              <w:bottom w:val="nil"/>
              <w:right w:val="nil"/>
            </w:tcBorders>
            <w:noWrap/>
            <w:vAlign w:val="bottom"/>
          </w:tcPr>
          <w:p>
            <w:pPr>
              <w:jc w:val="center"/>
              <w:rPr>
                <w:rFonts w:hint="eastAsia" w:ascii="宋体" w:hAnsi="宋体" w:eastAsia="宋体" w:cs="宋体"/>
                <w:color w:val="000000"/>
                <w:sz w:val="18"/>
                <w:szCs w:val="18"/>
              </w:rPr>
            </w:pPr>
          </w:p>
        </w:tc>
        <w:tc>
          <w:tcPr>
            <w:tcW w:w="3086" w:type="dxa"/>
            <w:gridSpan w:val="2"/>
            <w:tcBorders>
              <w:top w:val="nil"/>
              <w:left w:val="nil"/>
              <w:bottom w:val="nil"/>
              <w:right w:val="nil"/>
            </w:tcBorders>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91" w:hRule="atLeast"/>
          <w:jc w:val="center"/>
        </w:trPr>
        <w:tc>
          <w:tcPr>
            <w:tcW w:w="4784"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481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w:t>
            </w:r>
          </w:p>
        </w:tc>
      </w:tr>
      <w:tr>
        <w:tblPrEx>
          <w:tblCellMar>
            <w:top w:w="0" w:type="dxa"/>
            <w:left w:w="108" w:type="dxa"/>
            <w:bottom w:w="0" w:type="dxa"/>
            <w:right w:w="108" w:type="dxa"/>
          </w:tblCellMar>
        </w:tblPrEx>
        <w:trPr>
          <w:trHeight w:val="312" w:hRule="atLeast"/>
          <w:jc w:val="center"/>
        </w:trPr>
        <w:tc>
          <w:tcPr>
            <w:tcW w:w="1139"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功能分类科目编码</w:t>
            </w:r>
          </w:p>
        </w:tc>
        <w:tc>
          <w:tcPr>
            <w:tcW w:w="3645" w:type="dxa"/>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72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小计</w:t>
            </w:r>
          </w:p>
        </w:tc>
        <w:tc>
          <w:tcPr>
            <w:tcW w:w="151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基本支出</w:t>
            </w:r>
          </w:p>
        </w:tc>
        <w:tc>
          <w:tcPr>
            <w:tcW w:w="1571"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项目支出</w:t>
            </w:r>
          </w:p>
        </w:tc>
      </w:tr>
      <w:tr>
        <w:tblPrEx>
          <w:tblCellMar>
            <w:top w:w="0" w:type="dxa"/>
            <w:left w:w="108" w:type="dxa"/>
            <w:bottom w:w="0" w:type="dxa"/>
            <w:right w:w="108" w:type="dxa"/>
          </w:tblCellMar>
        </w:tblPrEx>
        <w:trPr>
          <w:trHeight w:val="312" w:hRule="atLeast"/>
          <w:jc w:val="center"/>
        </w:trPr>
        <w:tc>
          <w:tcPr>
            <w:tcW w:w="1139"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364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51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57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1139"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364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51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57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1" w:hRule="atLeast"/>
          <w:jc w:val="center"/>
        </w:trPr>
        <w:tc>
          <w:tcPr>
            <w:tcW w:w="4784" w:type="dxa"/>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7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51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571"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91" w:hRule="atLeast"/>
          <w:jc w:val="center"/>
        </w:trPr>
        <w:tc>
          <w:tcPr>
            <w:tcW w:w="4784" w:type="dxa"/>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72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3,131.76</w:t>
            </w:r>
          </w:p>
        </w:tc>
        <w:tc>
          <w:tcPr>
            <w:tcW w:w="151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2,115.71</w:t>
            </w:r>
          </w:p>
        </w:tc>
        <w:tc>
          <w:tcPr>
            <w:tcW w:w="1571"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1,016.05</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科学技术支出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2,589.16</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1,573.11</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1,016.05</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20603</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应用研究</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2,052.39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1,573.11</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479.28</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2060302</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社会公益研究</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2,052.39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1,573.11</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479.28</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20604</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技术研究与开发</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281.04</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281.04</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2060404</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科技成果转化与扩散</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52.89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52.89</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2060499</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其他技术研究与开发支出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228.14</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228.14</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20605</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科技条件与服务</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219.44</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219.44</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2060503</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科技条件专项</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119.44</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119.44</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2060599</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其他科技条件与服务支出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100.00</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100.00</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20607</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科学技术普及</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2060799</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其他科学技术普及支出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3.00</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20699</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其他科学技术支出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33.29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33.29</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2069901</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科技奖励</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20.00</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20.00</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2069999</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其他科学技术支出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13.29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13.29</w:t>
            </w: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社会保障和就业支出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271.39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271.39</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行政事业单位养老支出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271.39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271.39</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2080502</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事业单位离退休</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95.32</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95.32</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2080505</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机关事业单位基本养老保险缴费支出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175.69</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175.69</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2080506</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机关事业单位职业年金缴费支出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0.38</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0.38</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210</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卫生健康支出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159.08</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159.08</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21011</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行政事业单位医疗</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159.08</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159.08</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2101102</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事业单位医疗</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159.08</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159.08</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221</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住房保障支出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112.13</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112.13</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22102</w:t>
            </w:r>
          </w:p>
        </w:tc>
        <w:tc>
          <w:tcPr>
            <w:tcW w:w="364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住房改革支出</w:t>
            </w:r>
          </w:p>
        </w:tc>
        <w:tc>
          <w:tcPr>
            <w:tcW w:w="172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112.13</w:t>
            </w:r>
          </w:p>
        </w:tc>
        <w:tc>
          <w:tcPr>
            <w:tcW w:w="1515"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112.13</w:t>
            </w:r>
          </w:p>
        </w:tc>
        <w:tc>
          <w:tcPr>
            <w:tcW w:w="157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139" w:type="dxa"/>
            <w:gridSpan w:val="3"/>
            <w:tcBorders>
              <w:top w:val="single" w:color="000000" w:sz="4" w:space="0"/>
              <w:left w:val="single" w:color="000000" w:sz="4" w:space="0"/>
              <w:bottom w:val="single" w:color="auto"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2210201</w:t>
            </w:r>
          </w:p>
        </w:tc>
        <w:tc>
          <w:tcPr>
            <w:tcW w:w="3645" w:type="dxa"/>
            <w:tcBorders>
              <w:top w:val="single" w:color="000000" w:sz="4" w:space="0"/>
              <w:left w:val="nil"/>
              <w:bottom w:val="single" w:color="auto" w:sz="4" w:space="0"/>
              <w:right w:val="single" w:color="000000" w:sz="4" w:space="0"/>
            </w:tcBorders>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住房公积金</w:t>
            </w:r>
          </w:p>
        </w:tc>
        <w:tc>
          <w:tcPr>
            <w:tcW w:w="1725" w:type="dxa"/>
            <w:tcBorders>
              <w:top w:val="single" w:color="000000" w:sz="4" w:space="0"/>
              <w:left w:val="nil"/>
              <w:bottom w:val="single" w:color="auto"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112.13</w:t>
            </w:r>
          </w:p>
        </w:tc>
        <w:tc>
          <w:tcPr>
            <w:tcW w:w="1515" w:type="dxa"/>
            <w:tcBorders>
              <w:top w:val="single" w:color="000000" w:sz="4" w:space="0"/>
              <w:left w:val="nil"/>
              <w:bottom w:val="single" w:color="auto"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112.13</w:t>
            </w:r>
          </w:p>
        </w:tc>
        <w:tc>
          <w:tcPr>
            <w:tcW w:w="1571" w:type="dxa"/>
            <w:tcBorders>
              <w:top w:val="single" w:color="000000" w:sz="4" w:space="0"/>
              <w:left w:val="nil"/>
              <w:bottom w:val="single" w:color="auto" w:sz="4" w:space="0"/>
              <w:right w:val="single" w:color="000000" w:sz="4" w:space="0"/>
            </w:tcBorders>
            <w:noWrap/>
            <w:vAlign w:val="center"/>
          </w:tcPr>
          <w:p>
            <w:pPr>
              <w:widowControl/>
              <w:jc w:val="center"/>
              <w:textAlignment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595" w:type="dxa"/>
            <w:gridSpan w:val="7"/>
            <w:tcBorders>
              <w:top w:val="single" w:color="auto" w:sz="4" w:space="0"/>
            </w:tcBorders>
            <w:noWrap/>
            <w:vAlign w:val="center"/>
          </w:tcPr>
          <w:p>
            <w:pPr>
              <w:jc w:val="left"/>
              <w:rPr>
                <w:rFonts w:hint="eastAsia" w:ascii="宋体" w:hAnsi="宋体" w:eastAsia="宋体" w:cs="宋体"/>
                <w:color w:val="000000"/>
                <w:kern w:val="0"/>
                <w:sz w:val="18"/>
                <w:szCs w:val="18"/>
              </w:rPr>
            </w:pPr>
            <w:r>
              <w:rPr>
                <w:rFonts w:hint="eastAsia" w:ascii="宋体" w:hAnsi="宋体" w:eastAsia="宋体" w:cs="宋体"/>
                <w:sz w:val="18"/>
                <w:szCs w:val="18"/>
              </w:rPr>
              <w:t>注：本表反映部门本年度一般公共预算财政拨款支出情况</w:t>
            </w:r>
            <w:r>
              <w:rPr>
                <w:rFonts w:hint="eastAsia" w:ascii="宋体" w:hAnsi="宋体" w:cs="宋体"/>
                <w:sz w:val="18"/>
                <w:szCs w:val="18"/>
              </w:rPr>
              <w:t>。</w:t>
            </w:r>
          </w:p>
        </w:tc>
      </w:tr>
    </w:tbl>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widowControl/>
        <w:jc w:val="center"/>
        <w:textAlignment w:val="bottom"/>
        <w:rPr>
          <w:rFonts w:hint="eastAsia" w:ascii="黑体" w:hAnsi="宋体" w:eastAsia="黑体" w:cs="黑体"/>
          <w:color w:val="000000"/>
          <w:kern w:val="0"/>
          <w:sz w:val="28"/>
          <w:szCs w:val="28"/>
        </w:rPr>
        <w:sectPr>
          <w:pgSz w:w="11906" w:h="16838"/>
          <w:pgMar w:top="1440" w:right="1800" w:bottom="1440" w:left="1800" w:header="851" w:footer="992" w:gutter="0"/>
          <w:cols w:space="720" w:num="1"/>
          <w:docGrid w:type="lines" w:linePitch="312" w:charSpace="0"/>
        </w:sectPr>
      </w:pPr>
    </w:p>
    <w:tbl>
      <w:tblPr>
        <w:tblStyle w:val="6"/>
        <w:tblW w:w="10851" w:type="dxa"/>
        <w:jc w:val="center"/>
        <w:shd w:val="clear" w:color="auto" w:fill="FFFFFF"/>
        <w:tblLayout w:type="fixed"/>
        <w:tblCellMar>
          <w:top w:w="0" w:type="dxa"/>
          <w:left w:w="108" w:type="dxa"/>
          <w:bottom w:w="0" w:type="dxa"/>
          <w:right w:w="108" w:type="dxa"/>
        </w:tblCellMar>
      </w:tblPr>
      <w:tblGrid>
        <w:gridCol w:w="93"/>
        <w:gridCol w:w="769"/>
        <w:gridCol w:w="684"/>
        <w:gridCol w:w="1443"/>
        <w:gridCol w:w="490"/>
        <w:gridCol w:w="502"/>
        <w:gridCol w:w="751"/>
        <w:gridCol w:w="542"/>
        <w:gridCol w:w="1117"/>
        <w:gridCol w:w="678"/>
        <w:gridCol w:w="31"/>
        <w:gridCol w:w="410"/>
        <w:gridCol w:w="582"/>
        <w:gridCol w:w="773"/>
        <w:gridCol w:w="1171"/>
        <w:gridCol w:w="631"/>
        <w:gridCol w:w="184"/>
      </w:tblGrid>
      <w:tr>
        <w:tblPrEx>
          <w:shd w:val="clear" w:color="auto" w:fill="FFFFFF"/>
          <w:tblCellMar>
            <w:top w:w="0" w:type="dxa"/>
            <w:left w:w="108" w:type="dxa"/>
            <w:bottom w:w="0" w:type="dxa"/>
            <w:right w:w="108" w:type="dxa"/>
          </w:tblCellMar>
        </w:tblPrEx>
        <w:trPr>
          <w:trHeight w:val="124" w:hRule="atLeast"/>
          <w:jc w:val="center"/>
        </w:trPr>
        <w:tc>
          <w:tcPr>
            <w:tcW w:w="10851" w:type="dxa"/>
            <w:gridSpan w:val="17"/>
            <w:tcBorders>
              <w:top w:val="nil"/>
              <w:left w:val="nil"/>
              <w:bottom w:val="nil"/>
              <w:right w:val="nil"/>
            </w:tcBorders>
            <w:shd w:val="clear" w:color="auto" w:fill="FFFFFF"/>
            <w:noWrap/>
            <w:vAlign w:val="bottom"/>
          </w:tcPr>
          <w:p>
            <w:pPr>
              <w:widowControl/>
              <w:jc w:val="center"/>
              <w:textAlignment w:val="bottom"/>
              <w:rPr>
                <w:rFonts w:ascii="黑体" w:hAnsi="宋体" w:eastAsia="黑体" w:cs="黑体"/>
                <w:color w:val="000000"/>
                <w:sz w:val="24"/>
              </w:rPr>
            </w:pPr>
            <w:r>
              <w:rPr>
                <w:rFonts w:hint="eastAsia" w:ascii="黑体" w:hAnsi="宋体" w:eastAsia="黑体" w:cs="黑体"/>
                <w:color w:val="000000"/>
                <w:kern w:val="0"/>
                <w:sz w:val="24"/>
              </w:rPr>
              <w:t>一般公共预算财政拨款基本支出决算表</w:t>
            </w:r>
          </w:p>
        </w:tc>
      </w:tr>
      <w:tr>
        <w:tblPrEx>
          <w:tblCellMar>
            <w:top w:w="0" w:type="dxa"/>
            <w:left w:w="108" w:type="dxa"/>
            <w:bottom w:w="0" w:type="dxa"/>
            <w:right w:w="108" w:type="dxa"/>
          </w:tblCellMar>
        </w:tblPrEx>
        <w:trPr>
          <w:trHeight w:val="68" w:hRule="atLeast"/>
          <w:jc w:val="center"/>
        </w:trPr>
        <w:tc>
          <w:tcPr>
            <w:tcW w:w="2989" w:type="dxa"/>
            <w:gridSpan w:val="4"/>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992" w:type="dxa"/>
            <w:gridSpan w:val="2"/>
            <w:tcBorders>
              <w:top w:val="nil"/>
              <w:left w:val="nil"/>
              <w:bottom w:val="nil"/>
              <w:right w:val="nil"/>
            </w:tcBorders>
            <w:shd w:val="clear" w:color="auto" w:fill="FFFFFF"/>
            <w:noWrap/>
            <w:vAlign w:val="bottom"/>
          </w:tcPr>
          <w:p>
            <w:pPr>
              <w:jc w:val="center"/>
              <w:rPr>
                <w:rFonts w:hint="eastAsia" w:ascii="宋体" w:hAnsi="宋体" w:eastAsia="宋体" w:cs="宋体"/>
                <w:color w:val="000000"/>
                <w:sz w:val="16"/>
                <w:szCs w:val="16"/>
              </w:rPr>
            </w:pPr>
          </w:p>
        </w:tc>
        <w:tc>
          <w:tcPr>
            <w:tcW w:w="751" w:type="dxa"/>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1659"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709" w:type="dxa"/>
            <w:gridSpan w:val="2"/>
            <w:tcBorders>
              <w:top w:val="nil"/>
              <w:left w:val="nil"/>
              <w:bottom w:val="nil"/>
              <w:right w:val="nil"/>
            </w:tcBorders>
            <w:shd w:val="clear" w:color="auto" w:fill="FFFFFF"/>
            <w:noWrap/>
            <w:vAlign w:val="bottom"/>
          </w:tcPr>
          <w:p>
            <w:pPr>
              <w:jc w:val="center"/>
              <w:rPr>
                <w:rFonts w:hint="eastAsia" w:ascii="宋体" w:hAnsi="宋体" w:eastAsia="宋体" w:cs="宋体"/>
                <w:color w:val="000000"/>
                <w:sz w:val="16"/>
                <w:szCs w:val="16"/>
              </w:rPr>
            </w:pPr>
          </w:p>
        </w:tc>
        <w:tc>
          <w:tcPr>
            <w:tcW w:w="410" w:type="dxa"/>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3341" w:type="dxa"/>
            <w:gridSpan w:val="5"/>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108" w:type="dxa"/>
            <w:bottom w:w="0" w:type="dxa"/>
            <w:right w:w="108" w:type="dxa"/>
          </w:tblCellMar>
        </w:tblPrEx>
        <w:trPr>
          <w:trHeight w:val="68" w:hRule="atLeast"/>
          <w:jc w:val="center"/>
        </w:trPr>
        <w:tc>
          <w:tcPr>
            <w:tcW w:w="3981" w:type="dxa"/>
            <w:gridSpan w:val="6"/>
            <w:tcBorders>
              <w:top w:val="nil"/>
              <w:left w:val="nil"/>
              <w:bottom w:val="nil"/>
              <w:right w:val="nil"/>
            </w:tcBorders>
            <w:shd w:val="clear" w:color="auto" w:fill="FFFFFF"/>
            <w:noWrap/>
            <w:vAlign w:val="bottom"/>
          </w:tcPr>
          <w:p>
            <w:pPr>
              <w:jc w:val="left"/>
              <w:rPr>
                <w:rFonts w:hint="eastAsia" w:ascii="宋体" w:hAnsi="宋体" w:eastAsia="宋体" w:cs="宋体"/>
                <w:color w:val="000000"/>
                <w:sz w:val="16"/>
                <w:szCs w:val="16"/>
              </w:rPr>
            </w:pPr>
            <w:r>
              <w:rPr>
                <w:rFonts w:hint="eastAsia" w:ascii="宋体" w:hAnsi="宋体" w:eastAsia="宋体" w:cs="宋体"/>
                <w:color w:val="000000"/>
                <w:kern w:val="0"/>
                <w:sz w:val="16"/>
                <w:szCs w:val="16"/>
              </w:rPr>
              <w:t>部门：邯郸市农业科学院（汇总）</w:t>
            </w:r>
          </w:p>
        </w:tc>
        <w:tc>
          <w:tcPr>
            <w:tcW w:w="751" w:type="dxa"/>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1659"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709" w:type="dxa"/>
            <w:gridSpan w:val="2"/>
            <w:tcBorders>
              <w:top w:val="nil"/>
              <w:left w:val="nil"/>
              <w:bottom w:val="nil"/>
              <w:right w:val="nil"/>
            </w:tcBorders>
            <w:shd w:val="clear" w:color="auto" w:fill="FFFFFF"/>
            <w:noWrap/>
            <w:vAlign w:val="bottom"/>
          </w:tcPr>
          <w:p>
            <w:pPr>
              <w:jc w:val="center"/>
              <w:rPr>
                <w:rFonts w:hint="eastAsia" w:ascii="宋体" w:hAnsi="宋体" w:eastAsia="宋体" w:cs="宋体"/>
                <w:color w:val="000000"/>
                <w:sz w:val="16"/>
                <w:szCs w:val="16"/>
              </w:rPr>
            </w:pPr>
          </w:p>
        </w:tc>
        <w:tc>
          <w:tcPr>
            <w:tcW w:w="410" w:type="dxa"/>
            <w:tcBorders>
              <w:top w:val="nil"/>
              <w:left w:val="nil"/>
              <w:bottom w:val="nil"/>
              <w:right w:val="nil"/>
            </w:tcBorders>
            <w:shd w:val="clear" w:color="auto" w:fill="FFFFFF"/>
            <w:noWrap/>
            <w:vAlign w:val="bottom"/>
          </w:tcPr>
          <w:p>
            <w:pPr>
              <w:rPr>
                <w:rFonts w:hint="eastAsia" w:ascii="宋体" w:hAnsi="宋体" w:eastAsia="宋体" w:cs="宋体"/>
                <w:color w:val="000000"/>
                <w:sz w:val="16"/>
                <w:szCs w:val="16"/>
              </w:rPr>
            </w:pPr>
          </w:p>
        </w:tc>
        <w:tc>
          <w:tcPr>
            <w:tcW w:w="3341" w:type="dxa"/>
            <w:gridSpan w:val="5"/>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108" w:type="dxa"/>
            <w:bottom w:w="0" w:type="dxa"/>
            <w:right w:w="108" w:type="dxa"/>
          </w:tblCellMar>
        </w:tblPrEx>
        <w:trPr>
          <w:trHeight w:val="124" w:hRule="atLeast"/>
          <w:jc w:val="center"/>
        </w:trPr>
        <w:tc>
          <w:tcPr>
            <w:tcW w:w="3981"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w:t>
            </w:r>
          </w:p>
        </w:tc>
        <w:tc>
          <w:tcPr>
            <w:tcW w:w="6870" w:type="dxa"/>
            <w:gridSpan w:val="11"/>
            <w:tcBorders>
              <w:top w:val="single" w:color="000000" w:sz="4" w:space="0"/>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w:t>
            </w:r>
          </w:p>
        </w:tc>
      </w:tr>
      <w:tr>
        <w:tblPrEx>
          <w:tblCellMar>
            <w:top w:w="0" w:type="dxa"/>
            <w:left w:w="108" w:type="dxa"/>
            <w:bottom w:w="0" w:type="dxa"/>
            <w:right w:w="108" w:type="dxa"/>
          </w:tblCellMar>
        </w:tblPrEx>
        <w:trPr>
          <w:trHeight w:val="312" w:hRule="atLeast"/>
          <w:jc w:val="center"/>
        </w:trPr>
        <w:tc>
          <w:tcPr>
            <w:tcW w:w="862"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2127"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992"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751" w:type="dxa"/>
            <w:vMerge w:val="restart"/>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1659" w:type="dxa"/>
            <w:gridSpan w:val="2"/>
            <w:vMerge w:val="restart"/>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709"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992"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科目编码</w:t>
            </w:r>
          </w:p>
        </w:tc>
        <w:tc>
          <w:tcPr>
            <w:tcW w:w="1944"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815"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tblCellMar>
            <w:top w:w="0" w:type="dxa"/>
            <w:left w:w="108" w:type="dxa"/>
            <w:bottom w:w="0" w:type="dxa"/>
            <w:right w:w="108" w:type="dxa"/>
          </w:tblCellMar>
        </w:tblPrEx>
        <w:trPr>
          <w:trHeight w:val="312" w:hRule="atLeast"/>
          <w:jc w:val="center"/>
        </w:trPr>
        <w:tc>
          <w:tcPr>
            <w:tcW w:w="862"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c>
          <w:tcPr>
            <w:tcW w:w="2127"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c>
          <w:tcPr>
            <w:tcW w:w="992"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c>
          <w:tcPr>
            <w:tcW w:w="751" w:type="dxa"/>
            <w:vMerge w:val="continue"/>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6"/>
                <w:szCs w:val="16"/>
              </w:rPr>
            </w:pPr>
          </w:p>
        </w:tc>
        <w:tc>
          <w:tcPr>
            <w:tcW w:w="1659" w:type="dxa"/>
            <w:gridSpan w:val="2"/>
            <w:vMerge w:val="continue"/>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16"/>
                <w:szCs w:val="16"/>
              </w:rPr>
            </w:pPr>
          </w:p>
        </w:tc>
        <w:tc>
          <w:tcPr>
            <w:tcW w:w="709"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c>
          <w:tcPr>
            <w:tcW w:w="992"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c>
          <w:tcPr>
            <w:tcW w:w="1944"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c>
          <w:tcPr>
            <w:tcW w:w="815"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1,740.93</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261.55</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基本工资</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558.07</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办公费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41.58</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国内债务付息</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津贴补贴</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53.92</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印刷费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国外债务付息</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奖金</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193.44</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咨询费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6.78</w:t>
            </w: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伙食补助费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手续费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0.09</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房屋建筑物购建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绩效工资</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441.06</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水费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1.24</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办公设备购置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5.88</w:t>
            </w: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机关事业单位基本养老保险缴费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175.27</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电费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8.73</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专用设备购置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0.90</w:t>
            </w: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职业年金缴费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19.51</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邮电费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1.91</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基础设施建设</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职工基本医疗保险缴费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173.72</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取暖费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95.08</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大型修缮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公务员医疗补助缴费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物业管理费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25.00</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信息网络及软件购置更新</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其他社会保障缴费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7.55</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差旅费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19.06</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物资储备</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住房公积金</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112.13</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因公出国（境）费用</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土地补偿</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医疗费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维修（护）费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34.54</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安置补助</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其他工资福利支出</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6.25</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租赁费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地上附着物和青苗补偿</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106.46</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会议费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拆迁补偿</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离休费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17.90</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培训费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0.40</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公务用车购置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退休费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76.52</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公务接待费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0.18</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其他交通工具购置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退职（役）费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专用材料费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文物和陈列品购置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抚恤金</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被装购置费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无形资产购置</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生活补助</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10.85</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专用燃料费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其他资本性支出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救济费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劳务费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医疗费补助</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委托业务费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赠与</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助学金</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工会经费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14.39</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国家赔偿费用支出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奖励金</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0.90</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福利费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11.10</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对民间非营利组织和群众性自治组织补贴</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个人农业生产补贴</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公务用车运行维护费</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2.42</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1944"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代缴社会保险费</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其他交通费用</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5.36</w:t>
            </w:r>
          </w:p>
        </w:tc>
        <w:tc>
          <w:tcPr>
            <w:tcW w:w="992"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1944"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815"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24"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127"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其他对个人和家庭的补助</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0.29</w:t>
            </w: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税金及附加费用</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1944"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815"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200" w:hRule="atLeast"/>
          <w:jc w:val="center"/>
        </w:trPr>
        <w:tc>
          <w:tcPr>
            <w:tcW w:w="862"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2127"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992"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6"/>
                <w:szCs w:val="16"/>
              </w:rPr>
            </w:pPr>
          </w:p>
        </w:tc>
        <w:tc>
          <w:tcPr>
            <w:tcW w:w="75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1659"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其他商品和服务支出</w:t>
            </w:r>
          </w:p>
        </w:tc>
        <w:tc>
          <w:tcPr>
            <w:tcW w:w="709"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0.47</w:t>
            </w:r>
          </w:p>
        </w:tc>
        <w:tc>
          <w:tcPr>
            <w:tcW w:w="992"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1944" w:type="dxa"/>
            <w:gridSpan w:val="2"/>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6"/>
                <w:szCs w:val="16"/>
              </w:rPr>
            </w:pPr>
          </w:p>
        </w:tc>
        <w:tc>
          <w:tcPr>
            <w:tcW w:w="815" w:type="dxa"/>
            <w:gridSpan w:val="2"/>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162" w:hRule="atLeast"/>
          <w:jc w:val="center"/>
        </w:trPr>
        <w:tc>
          <w:tcPr>
            <w:tcW w:w="2989" w:type="dxa"/>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1,847.39</w:t>
            </w:r>
          </w:p>
        </w:tc>
        <w:tc>
          <w:tcPr>
            <w:tcW w:w="6055" w:type="dxa"/>
            <w:gridSpan w:val="9"/>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15" w:type="dxa"/>
            <w:gridSpan w:val="2"/>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268.32</w:t>
            </w:r>
          </w:p>
        </w:tc>
      </w:tr>
      <w:tr>
        <w:tblPrEx>
          <w:tblCellMar>
            <w:top w:w="0" w:type="dxa"/>
            <w:left w:w="108" w:type="dxa"/>
            <w:bottom w:w="0" w:type="dxa"/>
            <w:right w:w="108" w:type="dxa"/>
          </w:tblCellMar>
        </w:tblPrEx>
        <w:trPr>
          <w:trHeight w:val="124" w:hRule="atLeast"/>
          <w:jc w:val="center"/>
        </w:trPr>
        <w:tc>
          <w:tcPr>
            <w:tcW w:w="10851" w:type="dxa"/>
            <w:gridSpan w:val="17"/>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r>
        <w:tblPrEx>
          <w:shd w:val="clear" w:color="auto" w:fill="auto"/>
          <w:tblCellMar>
            <w:top w:w="0" w:type="dxa"/>
            <w:left w:w="0" w:type="dxa"/>
            <w:bottom w:w="0" w:type="dxa"/>
            <w:right w:w="0" w:type="dxa"/>
          </w:tblCellMar>
        </w:tblPrEx>
        <w:trPr>
          <w:gridBefore w:val="1"/>
          <w:gridAfter w:val="1"/>
          <w:wBefore w:w="93" w:type="dxa"/>
          <w:wAfter w:w="184" w:type="dxa"/>
          <w:trHeight w:val="539" w:hRule="atLeast"/>
          <w:jc w:val="center"/>
        </w:trPr>
        <w:tc>
          <w:tcPr>
            <w:tcW w:w="10574"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sz w:val="28"/>
                <w:szCs w:val="28"/>
              </w:rPr>
            </w:pPr>
            <w:r>
              <w:rPr>
                <w:sz w:val="28"/>
                <w:szCs w:val="28"/>
              </w:rPr>
              <w:br w:type="page"/>
            </w: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shd w:val="clear" w:color="auto" w:fill="auto"/>
          <w:tblCellMar>
            <w:top w:w="0" w:type="dxa"/>
            <w:left w:w="0" w:type="dxa"/>
            <w:bottom w:w="0" w:type="dxa"/>
            <w:right w:w="0" w:type="dxa"/>
          </w:tblCellMar>
        </w:tblPrEx>
        <w:trPr>
          <w:gridBefore w:val="1"/>
          <w:gridAfter w:val="1"/>
          <w:wBefore w:w="93" w:type="dxa"/>
          <w:wAfter w:w="184" w:type="dxa"/>
          <w:trHeight w:val="304" w:hRule="atLeast"/>
          <w:jc w:val="center"/>
        </w:trPr>
        <w:tc>
          <w:tcPr>
            <w:tcW w:w="1453" w:type="dxa"/>
            <w:gridSpan w:val="2"/>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933" w:type="dxa"/>
            <w:gridSpan w:val="2"/>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795" w:type="dxa"/>
            <w:gridSpan w:val="3"/>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795" w:type="dxa"/>
            <w:gridSpan w:val="2"/>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796" w:type="dxa"/>
            <w:gridSpan w:val="4"/>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802"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shd w:val="clear" w:color="auto" w:fill="auto"/>
          <w:tblCellMar>
            <w:top w:w="0" w:type="dxa"/>
            <w:left w:w="0" w:type="dxa"/>
            <w:bottom w:w="0" w:type="dxa"/>
            <w:right w:w="0" w:type="dxa"/>
          </w:tblCellMar>
        </w:tblPrEx>
        <w:trPr>
          <w:gridBefore w:val="1"/>
          <w:gridAfter w:val="1"/>
          <w:wBefore w:w="93" w:type="dxa"/>
          <w:wAfter w:w="184" w:type="dxa"/>
          <w:trHeight w:val="304" w:hRule="atLeast"/>
          <w:jc w:val="center"/>
        </w:trPr>
        <w:tc>
          <w:tcPr>
            <w:tcW w:w="3386" w:type="dxa"/>
            <w:gridSpan w:val="4"/>
            <w:tcBorders>
              <w:top w:val="nil"/>
              <w:left w:val="nil"/>
              <w:bottom w:val="nil"/>
              <w:right w:val="nil"/>
            </w:tcBorders>
            <w:shd w:val="clear" w:color="auto" w:fill="auto"/>
            <w:tcMar>
              <w:top w:w="15" w:type="dxa"/>
              <w:left w:w="15" w:type="dxa"/>
              <w:right w:w="15" w:type="dxa"/>
            </w:tcMar>
            <w:vAlign w:val="bottom"/>
          </w:tcPr>
          <w:p>
            <w:pPr>
              <w:spacing w:line="240" w:lineRule="exact"/>
              <w:rPr>
                <w:rFonts w:hint="eastAsia" w:ascii="Arial" w:hAnsi="Arial" w:eastAsia="宋体" w:cs="Arial"/>
                <w:color w:val="000000"/>
                <w:sz w:val="18"/>
                <w:szCs w:val="18"/>
                <w:lang w:eastAsia="zh-CN"/>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lang w:eastAsia="zh-CN"/>
              </w:rPr>
              <w:t>邯郸市农业科学院（汇总）</w:t>
            </w:r>
          </w:p>
        </w:tc>
        <w:tc>
          <w:tcPr>
            <w:tcW w:w="1795" w:type="dxa"/>
            <w:gridSpan w:val="3"/>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795" w:type="dxa"/>
            <w:gridSpan w:val="2"/>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796" w:type="dxa"/>
            <w:gridSpan w:val="4"/>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8"/>
                <w:szCs w:val="18"/>
              </w:rPr>
            </w:pPr>
          </w:p>
        </w:tc>
        <w:tc>
          <w:tcPr>
            <w:tcW w:w="1802" w:type="dxa"/>
            <w:gridSpan w:val="2"/>
            <w:tcBorders>
              <w:top w:val="nil"/>
              <w:left w:val="nil"/>
              <w:bottom w:val="nil"/>
              <w:right w:val="nil"/>
            </w:tcBorders>
            <w:shd w:val="clear" w:color="auto" w:fill="auto"/>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0574" w:type="dxa"/>
            <w:gridSpan w:val="15"/>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933" w:type="dxa"/>
            <w:gridSpan w:val="2"/>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5386" w:type="dxa"/>
            <w:gridSpan w:val="9"/>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802" w:type="dxa"/>
            <w:gridSpan w:val="2"/>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9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7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7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79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802" w:type="dxa"/>
            <w:gridSpan w:val="2"/>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9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7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7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79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802"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5.14</w:t>
            </w:r>
          </w:p>
        </w:tc>
        <w:tc>
          <w:tcPr>
            <w:tcW w:w="19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7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2.51</w:t>
            </w:r>
          </w:p>
        </w:tc>
        <w:tc>
          <w:tcPr>
            <w:tcW w:w="17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79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2.51</w:t>
            </w:r>
          </w:p>
        </w:tc>
        <w:tc>
          <w:tcPr>
            <w:tcW w:w="1802"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2.63</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0574" w:type="dxa"/>
            <w:gridSpan w:val="15"/>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933" w:type="dxa"/>
            <w:gridSpan w:val="2"/>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5386" w:type="dxa"/>
            <w:gridSpan w:val="9"/>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802" w:type="dxa"/>
            <w:gridSpan w:val="2"/>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9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7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7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79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802" w:type="dxa"/>
            <w:gridSpan w:val="2"/>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shd w:val="clear" w:color="auto" w:fill="auto"/>
          <w:tblCellMar>
            <w:top w:w="0" w:type="dxa"/>
            <w:left w:w="0" w:type="dxa"/>
            <w:bottom w:w="0" w:type="dxa"/>
            <w:right w:w="0" w:type="dxa"/>
          </w:tblCellMar>
        </w:tblPrEx>
        <w:trPr>
          <w:gridBefore w:val="1"/>
          <w:gridAfter w:val="1"/>
          <w:wBefore w:w="93" w:type="dxa"/>
          <w:wAfter w:w="184" w:type="dxa"/>
          <w:trHeight w:val="353" w:hRule="atLeast"/>
          <w:jc w:val="center"/>
        </w:trPr>
        <w:tc>
          <w:tcPr>
            <w:tcW w:w="1453" w:type="dxa"/>
            <w:gridSpan w:val="2"/>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93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7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79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796"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802" w:type="dxa"/>
            <w:gridSpan w:val="2"/>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shd w:val="clear" w:color="auto" w:fill="auto"/>
          <w:tblCellMar>
            <w:top w:w="0" w:type="dxa"/>
            <w:left w:w="0" w:type="dxa"/>
            <w:bottom w:w="0" w:type="dxa"/>
            <w:right w:w="0" w:type="dxa"/>
          </w:tblCellMar>
        </w:tblPrEx>
        <w:trPr>
          <w:gridBefore w:val="1"/>
          <w:gridAfter w:val="1"/>
          <w:wBefore w:w="93" w:type="dxa"/>
          <w:wAfter w:w="184" w:type="dxa"/>
          <w:trHeight w:val="378" w:hRule="atLeast"/>
          <w:jc w:val="center"/>
        </w:trPr>
        <w:tc>
          <w:tcPr>
            <w:tcW w:w="1453" w:type="dxa"/>
            <w:gridSpan w:val="2"/>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2.60</w:t>
            </w:r>
          </w:p>
        </w:tc>
        <w:tc>
          <w:tcPr>
            <w:tcW w:w="1933"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795" w:type="dxa"/>
            <w:gridSpan w:val="3"/>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2.42</w:t>
            </w:r>
          </w:p>
        </w:tc>
        <w:tc>
          <w:tcPr>
            <w:tcW w:w="1795"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796" w:type="dxa"/>
            <w:gridSpan w:val="4"/>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2.42</w:t>
            </w:r>
          </w:p>
        </w:tc>
        <w:tc>
          <w:tcPr>
            <w:tcW w:w="180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r>
              <w:rPr>
                <w:rFonts w:hint="eastAsia" w:ascii="宋体" w:hAnsi="宋体" w:cs="宋体"/>
                <w:color w:val="000000"/>
                <w:szCs w:val="22"/>
              </w:rPr>
              <w:t>0.18</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6"/>
        <w:tblW w:w="10441" w:type="dxa"/>
        <w:jc w:val="center"/>
        <w:shd w:val="clear" w:color="auto" w:fill="FFFFFF"/>
        <w:tblLayout w:type="fixed"/>
        <w:tblCellMar>
          <w:top w:w="0" w:type="dxa"/>
          <w:left w:w="108" w:type="dxa"/>
          <w:bottom w:w="0" w:type="dxa"/>
          <w:right w:w="108" w:type="dxa"/>
        </w:tblCellMar>
      </w:tblPr>
      <w:tblGrid>
        <w:gridCol w:w="931"/>
        <w:gridCol w:w="2835"/>
        <w:gridCol w:w="1230"/>
        <w:gridCol w:w="1170"/>
        <w:gridCol w:w="960"/>
        <w:gridCol w:w="1200"/>
        <w:gridCol w:w="975"/>
        <w:gridCol w:w="1140"/>
      </w:tblGrid>
      <w:tr>
        <w:tblPrEx>
          <w:shd w:val="clear" w:color="auto" w:fill="FFFFFF"/>
          <w:tblCellMar>
            <w:top w:w="0" w:type="dxa"/>
            <w:left w:w="108" w:type="dxa"/>
            <w:bottom w:w="0" w:type="dxa"/>
            <w:right w:w="108" w:type="dxa"/>
          </w:tblCellMar>
        </w:tblPrEx>
        <w:trPr>
          <w:trHeight w:val="375" w:hRule="atLeast"/>
          <w:jc w:val="center"/>
        </w:trPr>
        <w:tc>
          <w:tcPr>
            <w:tcW w:w="10441" w:type="dxa"/>
            <w:gridSpan w:val="8"/>
            <w:tcBorders>
              <w:top w:val="nil"/>
              <w:left w:val="nil"/>
              <w:bottom w:val="nil"/>
              <w:right w:val="nil"/>
            </w:tcBorders>
            <w:shd w:val="clear" w:color="auto" w:fill="FFFFFF"/>
            <w:noWrap/>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108" w:type="dxa"/>
            <w:bottom w:w="0" w:type="dxa"/>
            <w:right w:w="108" w:type="dxa"/>
          </w:tblCellMar>
        </w:tblPrEx>
        <w:trPr>
          <w:trHeight w:val="255" w:hRule="atLeast"/>
          <w:jc w:val="center"/>
        </w:trPr>
        <w:tc>
          <w:tcPr>
            <w:tcW w:w="3766"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23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17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96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3315" w:type="dxa"/>
            <w:gridSpan w:val="3"/>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108" w:type="dxa"/>
            <w:bottom w:w="0" w:type="dxa"/>
            <w:right w:w="108" w:type="dxa"/>
          </w:tblCellMar>
        </w:tblPrEx>
        <w:trPr>
          <w:trHeight w:val="255" w:hRule="atLeast"/>
          <w:jc w:val="center"/>
        </w:trPr>
        <w:tc>
          <w:tcPr>
            <w:tcW w:w="3766" w:type="dxa"/>
            <w:gridSpan w:val="2"/>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r>
              <w:rPr>
                <w:rFonts w:hint="eastAsia" w:ascii="宋体" w:hAnsi="宋体" w:eastAsia="宋体" w:cs="宋体"/>
                <w:color w:val="000000"/>
                <w:kern w:val="0"/>
                <w:sz w:val="18"/>
                <w:szCs w:val="18"/>
              </w:rPr>
              <w:t>部门：邯郸市农业科学院（汇总）</w:t>
            </w:r>
          </w:p>
        </w:tc>
        <w:tc>
          <w:tcPr>
            <w:tcW w:w="123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117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960" w:type="dxa"/>
            <w:tcBorders>
              <w:top w:val="nil"/>
              <w:left w:val="nil"/>
              <w:bottom w:val="nil"/>
              <w:right w:val="nil"/>
            </w:tcBorders>
            <w:shd w:val="clear" w:color="auto" w:fill="FFFFFF"/>
            <w:noWrap/>
            <w:vAlign w:val="bottom"/>
          </w:tcPr>
          <w:p>
            <w:pPr>
              <w:rPr>
                <w:rFonts w:hint="eastAsia" w:ascii="宋体" w:hAnsi="宋体" w:eastAsia="宋体" w:cs="宋体"/>
                <w:color w:val="000000"/>
                <w:sz w:val="18"/>
                <w:szCs w:val="18"/>
              </w:rPr>
            </w:pPr>
          </w:p>
        </w:tc>
        <w:tc>
          <w:tcPr>
            <w:tcW w:w="3315" w:type="dxa"/>
            <w:gridSpan w:val="3"/>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jc w:val="center"/>
        </w:trPr>
        <w:tc>
          <w:tcPr>
            <w:tcW w:w="376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123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w:t>
            </w:r>
          </w:p>
        </w:tc>
        <w:tc>
          <w:tcPr>
            <w:tcW w:w="3135"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w:t>
            </w:r>
          </w:p>
        </w:tc>
        <w:tc>
          <w:tcPr>
            <w:tcW w:w="114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r>
      <w:tr>
        <w:tblPrEx>
          <w:tblCellMar>
            <w:top w:w="0" w:type="dxa"/>
            <w:left w:w="108" w:type="dxa"/>
            <w:bottom w:w="0" w:type="dxa"/>
            <w:right w:w="108" w:type="dxa"/>
          </w:tblCellMar>
        </w:tblPrEx>
        <w:trPr>
          <w:trHeight w:val="312" w:hRule="atLeast"/>
          <w:jc w:val="center"/>
        </w:trPr>
        <w:tc>
          <w:tcPr>
            <w:tcW w:w="931"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功能分类科目编码</w:t>
            </w:r>
          </w:p>
        </w:tc>
        <w:tc>
          <w:tcPr>
            <w:tcW w:w="2835" w:type="dxa"/>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1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6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小计</w:t>
            </w:r>
          </w:p>
        </w:tc>
        <w:tc>
          <w:tcPr>
            <w:tcW w:w="120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基本支出</w:t>
            </w:r>
          </w:p>
        </w:tc>
        <w:tc>
          <w:tcPr>
            <w:tcW w:w="975"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项目支出</w:t>
            </w:r>
          </w:p>
        </w:tc>
        <w:tc>
          <w:tcPr>
            <w:tcW w:w="114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93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283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1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6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2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7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14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jc w:val="center"/>
        </w:trPr>
        <w:tc>
          <w:tcPr>
            <w:tcW w:w="93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2835"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18"/>
                <w:szCs w:val="18"/>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17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6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20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97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c>
          <w:tcPr>
            <w:tcW w:w="114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3766"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975"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140" w:type="dxa"/>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108" w:type="dxa"/>
            <w:bottom w:w="0" w:type="dxa"/>
            <w:right w:w="108" w:type="dxa"/>
          </w:tblCellMar>
        </w:tblPrEx>
        <w:trPr>
          <w:trHeight w:val="308" w:hRule="atLeast"/>
          <w:jc w:val="center"/>
        </w:trPr>
        <w:tc>
          <w:tcPr>
            <w:tcW w:w="3766" w:type="dxa"/>
            <w:gridSpan w:val="2"/>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w:t>
            </w:r>
          </w:p>
        </w:tc>
        <w:tc>
          <w:tcPr>
            <w:tcW w:w="283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城乡社区支出</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21213</w:t>
            </w:r>
          </w:p>
        </w:tc>
        <w:tc>
          <w:tcPr>
            <w:tcW w:w="283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城市基础设施配套费安排的支出</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2121399</w:t>
            </w:r>
          </w:p>
        </w:tc>
        <w:tc>
          <w:tcPr>
            <w:tcW w:w="2835"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其他城市基础设施配套费安排的支出</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c>
          <w:tcPr>
            <w:tcW w:w="96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116.00</w:t>
            </w: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93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283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18"/>
                <w:szCs w:val="18"/>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2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9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c>
          <w:tcPr>
            <w:tcW w:w="114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308" w:hRule="atLeast"/>
          <w:jc w:val="center"/>
        </w:trPr>
        <w:tc>
          <w:tcPr>
            <w:tcW w:w="10441" w:type="dxa"/>
            <w:gridSpan w:val="8"/>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注：本表反映部门本年度政府性基金预算财政拨款收入、支出及结转结余情况。</w:t>
            </w: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6"/>
        <w:tblW w:w="9960" w:type="dxa"/>
        <w:jc w:val="center"/>
        <w:shd w:val="clear" w:color="auto" w:fill="FFFFFF"/>
        <w:tblLayout w:type="autofit"/>
        <w:tblCellMar>
          <w:top w:w="0" w:type="dxa"/>
          <w:left w:w="108" w:type="dxa"/>
          <w:bottom w:w="0" w:type="dxa"/>
          <w:right w:w="108" w:type="dxa"/>
        </w:tblCellMar>
      </w:tblPr>
      <w:tblGrid>
        <w:gridCol w:w="3760"/>
        <w:gridCol w:w="260"/>
        <w:gridCol w:w="260"/>
        <w:gridCol w:w="1281"/>
        <w:gridCol w:w="1237"/>
        <w:gridCol w:w="1237"/>
        <w:gridCol w:w="1925"/>
      </w:tblGrid>
      <w:tr>
        <w:tblPrEx>
          <w:shd w:val="clear" w:color="auto" w:fill="FFFFFF"/>
          <w:tblCellMar>
            <w:top w:w="0" w:type="dxa"/>
            <w:left w:w="108" w:type="dxa"/>
            <w:bottom w:w="0" w:type="dxa"/>
            <w:right w:w="108" w:type="dxa"/>
          </w:tblCellMar>
        </w:tblPrEx>
        <w:trPr>
          <w:trHeight w:val="375" w:hRule="atLeast"/>
          <w:jc w:val="center"/>
        </w:trPr>
        <w:tc>
          <w:tcPr>
            <w:tcW w:w="9960" w:type="dxa"/>
            <w:gridSpan w:val="7"/>
            <w:tcBorders>
              <w:top w:val="nil"/>
              <w:left w:val="nil"/>
              <w:bottom w:val="nil"/>
              <w:right w:val="nil"/>
            </w:tcBorders>
            <w:shd w:val="clear" w:color="auto" w:fill="FFFFFF"/>
            <w:noWrap/>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FFFFFF"/>
            <w:noWrap/>
            <w:vAlign w:val="bottom"/>
          </w:tcPr>
          <w:p>
            <w:pPr>
              <w:rPr>
                <w:rFonts w:hint="eastAsia"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FFFFFF"/>
            <w:noWrap/>
            <w:vAlign w:val="bottom"/>
          </w:tcPr>
          <w:p>
            <w:pPr>
              <w:widowControl/>
              <w:jc w:val="lef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部门：邯郸市农业科学院（汇总）</w:t>
            </w: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FFFFFF"/>
            <w:noWrap/>
            <w:vAlign w:val="bottom"/>
          </w:tcPr>
          <w:p>
            <w:pPr>
              <w:widowControl/>
              <w:jc w:val="right"/>
              <w:textAlignment w:val="bottom"/>
              <w:rPr>
                <w:rFonts w:hint="eastAsia"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504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本年支出</w:t>
            </w:r>
          </w:p>
        </w:tc>
      </w:tr>
      <w:tr>
        <w:tblPrEx>
          <w:tblCellMar>
            <w:top w:w="0" w:type="dxa"/>
            <w:left w:w="108" w:type="dxa"/>
            <w:bottom w:w="0" w:type="dxa"/>
            <w:right w:w="108"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68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68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68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c>
          <w:tcPr>
            <w:tcW w:w="16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760" w:hRule="atLeast"/>
          <w:jc w:val="center"/>
        </w:trPr>
        <w:tc>
          <w:tcPr>
            <w:tcW w:w="9960" w:type="dxa"/>
            <w:gridSpan w:val="7"/>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rPr>
              <w:t>本表反映部门本年度国有资本经营预算财政拨款收入、支出及结转结余情况。本部门本年度无相关收支及结转结余等情况，按要求空表列示。</w:t>
            </w:r>
          </w:p>
        </w:tc>
      </w:tr>
    </w:tbl>
    <w:p>
      <w:pPr>
        <w:sectPr>
          <w:pgSz w:w="11906" w:h="16838"/>
          <w:pgMar w:top="2098" w:right="1531" w:bottom="1984" w:left="1531" w:header="851" w:footer="992" w:gutter="0"/>
          <w:cols w:space="425" w:num="1"/>
          <w:docGrid w:type="lines" w:linePitch="312" w:charSpace="0"/>
        </w:sectPr>
      </w:pPr>
    </w:p>
    <w:p>
      <w:pPr>
        <w:tabs>
          <w:tab w:val="left" w:pos="235"/>
        </w:tabs>
        <w:spacing w:line="600" w:lineRule="exact"/>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5408;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pHv59wAAAAPAQAADwAAAAAAAAABACAAAAAiAAAA&#10;ZHJzL2Rvd25yZXYueG1sUEsBAhQAFAAAAAgAh07iQNMsnA11AgAAwwQAAA4AAAAAAAAAAQAgAAAA&#10;KwEAAGRycy9lMm9Eb2MueG1sUEsFBgAAAAAGAAYAWQEAABIGA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5F222FFA"/>
    <w:multiLevelType w:val="singleLevel"/>
    <w:tmpl w:val="5F222FFA"/>
    <w:lvl w:ilvl="0" w:tentative="0">
      <w:start w:val="1"/>
      <w:numFmt w:val="decimal"/>
      <w:suff w:val="nothing"/>
      <w:lvlText w:val="（%1）"/>
      <w:lvlJc w:val="left"/>
      <w:rPr>
        <w:b w:val="0"/>
      </w:rPr>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C45458"/>
    <w:rsid w:val="00001042"/>
    <w:rsid w:val="00020F78"/>
    <w:rsid w:val="00061A05"/>
    <w:rsid w:val="0009193C"/>
    <w:rsid w:val="000C6EF0"/>
    <w:rsid w:val="000E2ACB"/>
    <w:rsid w:val="000F166B"/>
    <w:rsid w:val="000F5393"/>
    <w:rsid w:val="000F792C"/>
    <w:rsid w:val="001023FE"/>
    <w:rsid w:val="00137108"/>
    <w:rsid w:val="00152162"/>
    <w:rsid w:val="00173428"/>
    <w:rsid w:val="0018668E"/>
    <w:rsid w:val="001A5C8A"/>
    <w:rsid w:val="001B73D2"/>
    <w:rsid w:val="001D70CC"/>
    <w:rsid w:val="001E62BF"/>
    <w:rsid w:val="001F21F9"/>
    <w:rsid w:val="00202217"/>
    <w:rsid w:val="0021399E"/>
    <w:rsid w:val="00293E7B"/>
    <w:rsid w:val="002965E7"/>
    <w:rsid w:val="002D1F4F"/>
    <w:rsid w:val="002D7BE3"/>
    <w:rsid w:val="002F78CE"/>
    <w:rsid w:val="00321C58"/>
    <w:rsid w:val="00366D90"/>
    <w:rsid w:val="003707A7"/>
    <w:rsid w:val="003750AF"/>
    <w:rsid w:val="00375DD2"/>
    <w:rsid w:val="003813DB"/>
    <w:rsid w:val="003D678E"/>
    <w:rsid w:val="003F32F9"/>
    <w:rsid w:val="0044677D"/>
    <w:rsid w:val="004B36A4"/>
    <w:rsid w:val="004B4D73"/>
    <w:rsid w:val="004E47B8"/>
    <w:rsid w:val="004F2223"/>
    <w:rsid w:val="005A5D1B"/>
    <w:rsid w:val="005D04D3"/>
    <w:rsid w:val="005D18EA"/>
    <w:rsid w:val="005E47BD"/>
    <w:rsid w:val="00606996"/>
    <w:rsid w:val="00631B2C"/>
    <w:rsid w:val="00690A38"/>
    <w:rsid w:val="00706F18"/>
    <w:rsid w:val="007157E2"/>
    <w:rsid w:val="00767D86"/>
    <w:rsid w:val="0078610C"/>
    <w:rsid w:val="007C55D8"/>
    <w:rsid w:val="007F3382"/>
    <w:rsid w:val="00801F66"/>
    <w:rsid w:val="00862566"/>
    <w:rsid w:val="00882674"/>
    <w:rsid w:val="008F7F44"/>
    <w:rsid w:val="0093136B"/>
    <w:rsid w:val="009334BF"/>
    <w:rsid w:val="00953469"/>
    <w:rsid w:val="009C648D"/>
    <w:rsid w:val="009E0D9A"/>
    <w:rsid w:val="00A12A99"/>
    <w:rsid w:val="00AD2CEE"/>
    <w:rsid w:val="00AD483A"/>
    <w:rsid w:val="00AE41B5"/>
    <w:rsid w:val="00B34A97"/>
    <w:rsid w:val="00B37756"/>
    <w:rsid w:val="00B4007A"/>
    <w:rsid w:val="00B6467C"/>
    <w:rsid w:val="00BA2846"/>
    <w:rsid w:val="00BA78BB"/>
    <w:rsid w:val="00CA2EB9"/>
    <w:rsid w:val="00D062DE"/>
    <w:rsid w:val="00D15B51"/>
    <w:rsid w:val="00D21483"/>
    <w:rsid w:val="00D713E3"/>
    <w:rsid w:val="00D80E76"/>
    <w:rsid w:val="00DA2F65"/>
    <w:rsid w:val="00DD0E3F"/>
    <w:rsid w:val="00DD1A37"/>
    <w:rsid w:val="00DE2ED4"/>
    <w:rsid w:val="00E516ED"/>
    <w:rsid w:val="00ED622D"/>
    <w:rsid w:val="00F00E79"/>
    <w:rsid w:val="00F07726"/>
    <w:rsid w:val="00F6720F"/>
    <w:rsid w:val="00F676A3"/>
    <w:rsid w:val="00F7069C"/>
    <w:rsid w:val="00FA279E"/>
    <w:rsid w:val="00FA32FF"/>
    <w:rsid w:val="00FB393C"/>
    <w:rsid w:val="00FB611B"/>
    <w:rsid w:val="00FD66F6"/>
    <w:rsid w:val="02A00934"/>
    <w:rsid w:val="03E247BC"/>
    <w:rsid w:val="0EA325C9"/>
    <w:rsid w:val="0EE17C1A"/>
    <w:rsid w:val="13780775"/>
    <w:rsid w:val="13CD6ACE"/>
    <w:rsid w:val="14B13108"/>
    <w:rsid w:val="181800A9"/>
    <w:rsid w:val="211A7B0A"/>
    <w:rsid w:val="22E46C89"/>
    <w:rsid w:val="2A4372DC"/>
    <w:rsid w:val="312E4C6A"/>
    <w:rsid w:val="34C45458"/>
    <w:rsid w:val="35C83C42"/>
    <w:rsid w:val="37445DC3"/>
    <w:rsid w:val="42AE0CFF"/>
    <w:rsid w:val="44583669"/>
    <w:rsid w:val="4552122B"/>
    <w:rsid w:val="47B65E84"/>
    <w:rsid w:val="4EB70BFE"/>
    <w:rsid w:val="5610185B"/>
    <w:rsid w:val="562C3585"/>
    <w:rsid w:val="56A245A0"/>
    <w:rsid w:val="57C249DB"/>
    <w:rsid w:val="5C9C73FF"/>
    <w:rsid w:val="60154311"/>
    <w:rsid w:val="60E649C7"/>
    <w:rsid w:val="64B4740B"/>
    <w:rsid w:val="667730A5"/>
    <w:rsid w:val="695B26FD"/>
    <w:rsid w:val="6E67496E"/>
    <w:rsid w:val="73D824BD"/>
    <w:rsid w:val="764B3663"/>
    <w:rsid w:val="7A681B5C"/>
    <w:rsid w:val="7CA6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GI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r>
              <a:rPr lang="en-US" altLang="zh-CN">
                <a:latin typeface="楷体_GB2312" pitchFamily="3" charset="-122"/>
                <a:ea typeface="楷体_GB2312" pitchFamily="3" charset="-122"/>
                <a:cs typeface="楷体_GB2312" pitchFamily="3" charset="-122"/>
                <a:sym typeface="楷体_GB2312" pitchFamily="3" charset="-122"/>
              </a:rPr>
              <a:t>2019-2020</a:t>
            </a:r>
            <a:r>
              <a:rPr lang="zh-CN" altLang="en-US">
                <a:latin typeface="楷体_GB2312" pitchFamily="3" charset="-122"/>
                <a:ea typeface="楷体_GB2312" pitchFamily="3" charset="-122"/>
                <a:cs typeface="楷体_GB2312" pitchFamily="3" charset="-122"/>
                <a:sym typeface="楷体_GB2312" pitchFamily="3" charset="-122"/>
              </a:rPr>
              <a:t>年收支总计对比情况（图</a:t>
            </a:r>
            <a:r>
              <a:rPr lang="en-US" altLang="zh-CN">
                <a:latin typeface="楷体_GB2312" pitchFamily="3" charset="-122"/>
                <a:ea typeface="楷体_GB2312" pitchFamily="3" charset="-122"/>
                <a:cs typeface="楷体_GB2312" pitchFamily="3" charset="-122"/>
                <a:sym typeface="楷体_GB2312" pitchFamily="3" charset="-122"/>
              </a:rPr>
              <a:t>1</a:t>
            </a:r>
            <a:r>
              <a:rPr lang="zh-CN" altLang="en-US">
                <a:latin typeface="楷体_GB2312" pitchFamily="3" charset="-122"/>
                <a:ea typeface="楷体_GB2312" pitchFamily="3" charset="-122"/>
                <a:cs typeface="楷体_GB2312" pitchFamily="3" charset="-122"/>
                <a:sym typeface="楷体_GB2312" pitchFamily="3" charset="-122"/>
              </a:rPr>
              <a:t>）</a:t>
            </a:r>
            <a:endParaRPr lang="zh-CN" altLang="en-US">
              <a:latin typeface="楷体_GB2312" pitchFamily="3" charset="-122"/>
              <a:ea typeface="楷体_GB2312" pitchFamily="3" charset="-122"/>
              <a:cs typeface="楷体_GB2312" pitchFamily="3" charset="-122"/>
              <a:sym typeface="楷体_GB2312" pitchFamily="3" charset="-122"/>
            </a:endParaRPr>
          </a:p>
        </c:rich>
      </c:tx>
      <c:layout>
        <c:manualLayout>
          <c:xMode val="edge"/>
          <c:yMode val="edge"/>
          <c:x val="0.209718361608105"/>
          <c:y val="0.846648044692738"/>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itchFamily="3" charset="-122"/>
                    <a:ea typeface="楷体_GB2312" pitchFamily="3" charset="-122"/>
                    <a:cs typeface="楷体_GB2312" pitchFamily="3" charset="-122"/>
                    <a:sym typeface="楷体_GB2312"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5008.8</c:v>
                </c:pt>
                <c:pt idx="1">
                  <c:v>4769.69</c:v>
                </c:pt>
              </c:numCache>
            </c:numRef>
          </c:val>
        </c:ser>
        <c:dLbls>
          <c:showLegendKey val="0"/>
          <c:showVal val="1"/>
          <c:showCatName val="0"/>
          <c:showSerName val="0"/>
          <c:showPercent val="0"/>
          <c:showBubbleSize val="0"/>
        </c:dLbls>
        <c:gapWidth val="219"/>
        <c:overlap val="-27"/>
        <c:axId val="218873216"/>
        <c:axId val="218892160"/>
      </c:barChart>
      <c:catAx>
        <c:axId val="2188732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218892160"/>
        <c:crosses val="autoZero"/>
        <c:auto val="1"/>
        <c:lblAlgn val="ctr"/>
        <c:lblOffset val="100"/>
        <c:noMultiLvlLbl val="0"/>
      </c:catAx>
      <c:valAx>
        <c:axId val="218892160"/>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crossAx val="21887321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Entry>
      <c:layout>
        <c:manualLayout>
          <c:xMode val="edge"/>
          <c:yMode val="edge"/>
          <c:x val="0.830312807730551"/>
          <c:y val="0.3631731698280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itchFamily="3" charset="-122"/>
              <a:ea typeface="楷体_GB2312" pitchFamily="3" charset="-122"/>
              <a:cs typeface="楷体_GB2312" pitchFamily="3" charset="-122"/>
              <a:sym typeface="楷体_GB2312"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itchFamily="3" charset="-122"/>
          <a:ea typeface="楷体_GB2312" pitchFamily="3" charset="-122"/>
          <a:cs typeface="楷体_GB2312" pitchFamily="3" charset="-122"/>
          <a:sym typeface="楷体_GB2312"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04850280811673"/>
          <c:y val="0.184912042244719"/>
          <c:w val="0.649202946405894"/>
          <c:h val="0.67223042432196"/>
        </c:manualLayout>
      </c:layout>
      <c:pieChart>
        <c:varyColors val="1"/>
        <c:ser>
          <c:idx val="0"/>
          <c:order val="0"/>
          <c:tx>
            <c:strRef>
              <c:f>Sheet1!$B$1</c:f>
              <c:strCache>
                <c:ptCount val="1"/>
                <c:pt idx="0">
                  <c:v>2020年度收入</c:v>
                </c:pt>
              </c:strCache>
            </c:strRef>
          </c:tx>
          <c:explosion val="0"/>
          <c:dPt>
            <c:idx val="0"/>
            <c:bubble3D val="0"/>
            <c:spPr>
              <a:solidFill>
                <a:schemeClr val="accent1"/>
              </a:solidFill>
            </c:spPr>
          </c:dPt>
          <c:dPt>
            <c:idx val="1"/>
            <c:bubble3D val="0"/>
          </c:dPt>
          <c:dPt>
            <c:idx val="2"/>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84.18%</a:t>
                    </a:r>
                    <a:endParaRPr lang="en-US" altLang="en-US"/>
                  </a:p>
                </c:rich>
              </c:tx>
              <c:dLblPos val="bestFit"/>
              <c:showLegendKey val="0"/>
              <c:showVal val="1"/>
              <c:showCatName val="0"/>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3038.14</c:v>
                </c:pt>
                <c:pt idx="1">
                  <c:v>27</c:v>
                </c:pt>
                <c:pt idx="2">
                  <c:v>543.829999999999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46371372986529"/>
          <c:y val="0.187180561578227"/>
          <c:w val="0.65141128406985"/>
          <c:h val="0.658124759431504"/>
        </c:manualLayout>
      </c:layout>
      <c:pieChart>
        <c:varyColors val="1"/>
        <c:ser>
          <c:idx val="0"/>
          <c:order val="0"/>
          <c:tx>
            <c:strRef>
              <c:f>Sheet1!$B$1</c:f>
              <c:strCache>
                <c:ptCount val="1"/>
                <c:pt idx="0">
                  <c:v>2020年度支出</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2124.82</c:v>
                </c:pt>
                <c:pt idx="1">
                  <c:v>1576.26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908886159374"/>
          <c:y val="0.0409542495240225"/>
          <c:w val="0.740936085187743"/>
          <c:h val="0.73828746861308"/>
        </c:manualLayout>
      </c:layout>
      <c:barChart>
        <c:barDir val="col"/>
        <c:grouping val="clustered"/>
        <c:varyColors val="0"/>
        <c:ser>
          <c:idx val="0"/>
          <c:order val="0"/>
          <c:tx>
            <c:strRef>
              <c:f>Sheet1!$B$1</c:f>
              <c:strCache>
                <c:ptCount val="1"/>
                <c:pt idx="0">
                  <c:v>2019年收入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Sheet1!$B$2:$B$3</c:f>
              <c:numCache>
                <c:formatCode>General</c:formatCode>
                <c:ptCount val="2"/>
                <c:pt idx="0">
                  <c:v>2594.95</c:v>
                </c:pt>
                <c:pt idx="1">
                  <c:v>0</c:v>
                </c:pt>
              </c:numCache>
            </c:numRef>
          </c:val>
        </c:ser>
        <c:ser>
          <c:idx val="1"/>
          <c:order val="1"/>
          <c:tx>
            <c:strRef>
              <c:f>Sheet1!$C$1</c:f>
              <c:strCache>
                <c:ptCount val="1"/>
                <c:pt idx="0">
                  <c:v>2020收入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Sheet1!$C$2:$C$3</c:f>
              <c:numCache>
                <c:formatCode>General</c:formatCode>
                <c:ptCount val="2"/>
                <c:pt idx="0">
                  <c:v>2922.14</c:v>
                </c:pt>
                <c:pt idx="1">
                  <c:v>116</c:v>
                </c:pt>
              </c:numCache>
            </c:numRef>
          </c:val>
        </c:ser>
        <c:ser>
          <c:idx val="2"/>
          <c:order val="2"/>
          <c:tx>
            <c:strRef>
              <c:f>Sheet1!$D$1</c:f>
              <c:strCache>
                <c:ptCount val="1"/>
                <c:pt idx="0">
                  <c:v>2019年支出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Sheet1!$D$2:$D$3</c:f>
              <c:numCache>
                <c:formatCode>General</c:formatCode>
                <c:ptCount val="2"/>
                <c:pt idx="0">
                  <c:v>2647.04</c:v>
                </c:pt>
                <c:pt idx="1">
                  <c:v>0</c:v>
                </c:pt>
              </c:numCache>
            </c:numRef>
          </c:val>
        </c:ser>
        <c:ser>
          <c:idx val="3"/>
          <c:order val="3"/>
          <c:tx>
            <c:strRef>
              <c:f>Sheet1!$E$1</c:f>
              <c:strCache>
                <c:ptCount val="1"/>
                <c:pt idx="0">
                  <c:v>2020年支出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Sheet1!$E$2:$E$3</c:f>
              <c:numCache>
                <c:formatCode>General</c:formatCode>
                <c:ptCount val="2"/>
                <c:pt idx="0">
                  <c:v>3131.76</c:v>
                </c:pt>
                <c:pt idx="1">
                  <c:v>0</c:v>
                </c:pt>
              </c:numCache>
            </c:numRef>
          </c:val>
        </c:ser>
        <c:dLbls>
          <c:showLegendKey val="0"/>
          <c:showVal val="1"/>
          <c:showCatName val="0"/>
          <c:showSerName val="0"/>
          <c:showPercent val="0"/>
          <c:showBubbleSize val="0"/>
        </c:dLbls>
        <c:gapWidth val="150"/>
        <c:axId val="237187840"/>
        <c:axId val="237189376"/>
      </c:barChart>
      <c:catAx>
        <c:axId val="2371878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189376"/>
        <c:crosses val="autoZero"/>
        <c:auto val="1"/>
        <c:lblAlgn val="ctr"/>
        <c:lblOffset val="100"/>
        <c:noMultiLvlLbl val="0"/>
      </c:catAx>
      <c:valAx>
        <c:axId val="23718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18784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052580246725"/>
          <c:y val="0.0485449550808328"/>
          <c:w val="0.680354518716169"/>
          <c:h val="0.724791937995423"/>
        </c:manualLayout>
      </c:layout>
      <c:barChart>
        <c:barDir val="col"/>
        <c:grouping val="clustered"/>
        <c:varyColors val="0"/>
        <c:ser>
          <c:idx val="0"/>
          <c:order val="0"/>
          <c:tx>
            <c:strRef>
              <c:f>Sheet1!$B$1</c:f>
              <c:strCache>
                <c:ptCount val="1"/>
                <c:pt idx="0">
                  <c:v>年初预算收入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Sheet1!$B$2:$B$3</c:f>
              <c:numCache>
                <c:formatCode>General</c:formatCode>
                <c:ptCount val="2"/>
                <c:pt idx="0">
                  <c:v>2451.35</c:v>
                </c:pt>
                <c:pt idx="1">
                  <c:v>0</c:v>
                </c:pt>
              </c:numCache>
            </c:numRef>
          </c:val>
        </c:ser>
        <c:ser>
          <c:idx val="1"/>
          <c:order val="1"/>
          <c:tx>
            <c:strRef>
              <c:f>Sheet1!$C$1</c:f>
              <c:strCache>
                <c:ptCount val="1"/>
                <c:pt idx="0">
                  <c:v>2020年度收入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Sheet1!$C$2:$C$3</c:f>
              <c:numCache>
                <c:formatCode>General</c:formatCode>
                <c:ptCount val="2"/>
                <c:pt idx="0">
                  <c:v>2922.14</c:v>
                </c:pt>
                <c:pt idx="1">
                  <c:v>116</c:v>
                </c:pt>
              </c:numCache>
            </c:numRef>
          </c:val>
        </c:ser>
        <c:ser>
          <c:idx val="2"/>
          <c:order val="2"/>
          <c:tx>
            <c:strRef>
              <c:f>Sheet1!$D$1</c:f>
              <c:strCache>
                <c:ptCount val="1"/>
                <c:pt idx="0">
                  <c:v>年初预算支出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Sheet1!$D$2:$D$3</c:f>
              <c:numCache>
                <c:formatCode>General</c:formatCode>
                <c:ptCount val="2"/>
                <c:pt idx="0">
                  <c:v>2451.35</c:v>
                </c:pt>
                <c:pt idx="1">
                  <c:v>0</c:v>
                </c:pt>
              </c:numCache>
            </c:numRef>
          </c:val>
        </c:ser>
        <c:ser>
          <c:idx val="3"/>
          <c:order val="3"/>
          <c:tx>
            <c:strRef>
              <c:f>Sheet1!$E$1</c:f>
              <c:strCache>
                <c:ptCount val="1"/>
                <c:pt idx="0">
                  <c:v>2020年度支出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一般公共预算</c:v>
                </c:pt>
                <c:pt idx="1">
                  <c:v>政府性基金预算</c:v>
                </c:pt>
              </c:strCache>
            </c:strRef>
          </c:cat>
          <c:val>
            <c:numRef>
              <c:f>Sheet1!$E$2:$E$3</c:f>
              <c:numCache>
                <c:formatCode>General</c:formatCode>
                <c:ptCount val="2"/>
                <c:pt idx="0">
                  <c:v>3131.76</c:v>
                </c:pt>
                <c:pt idx="1">
                  <c:v>0</c:v>
                </c:pt>
              </c:numCache>
            </c:numRef>
          </c:val>
        </c:ser>
        <c:dLbls>
          <c:showLegendKey val="0"/>
          <c:showVal val="1"/>
          <c:showCatName val="0"/>
          <c:showSerName val="0"/>
          <c:showPercent val="0"/>
          <c:showBubbleSize val="0"/>
        </c:dLbls>
        <c:gapWidth val="150"/>
        <c:axId val="237660032"/>
        <c:axId val="237661568"/>
      </c:barChart>
      <c:catAx>
        <c:axId val="237660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661568"/>
        <c:crosses val="autoZero"/>
        <c:auto val="1"/>
        <c:lblAlgn val="ctr"/>
        <c:lblOffset val="100"/>
        <c:noMultiLvlLbl val="0"/>
      </c:catAx>
      <c:valAx>
        <c:axId val="2376615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766003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7765123272182"/>
          <c:y val="0.206673407797866"/>
          <c:w val="0.512325033252217"/>
          <c:h val="0.588238598593725"/>
        </c:manualLayout>
      </c:layout>
      <c:pieChart>
        <c:varyColors val="1"/>
        <c:ser>
          <c:idx val="0"/>
          <c:order val="0"/>
          <c:tx>
            <c:strRef>
              <c:f>Sheet1!$B$1</c:f>
              <c:strCache>
                <c:ptCount val="1"/>
                <c:pt idx="0">
                  <c:v>2020年度</c:v>
                </c:pt>
              </c:strCache>
            </c:strRef>
          </c:tx>
          <c:explosion val="0"/>
          <c:dPt>
            <c:idx val="0"/>
            <c:bubble3D val="0"/>
          </c:dPt>
          <c:dPt>
            <c:idx val="1"/>
            <c:bubble3D val="0"/>
          </c:dPt>
          <c:dPt>
            <c:idx val="2"/>
            <c:bubble3D val="0"/>
          </c:dPt>
          <c:dPt>
            <c:idx val="3"/>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科学技术支出</c:v>
                </c:pt>
                <c:pt idx="1">
                  <c:v>社会保障和就业支出 </c:v>
                </c:pt>
                <c:pt idx="2">
                  <c:v>卫生健康支出</c:v>
                </c:pt>
                <c:pt idx="3">
                  <c:v>住房保障支出</c:v>
                </c:pt>
              </c:strCache>
            </c:strRef>
          </c:cat>
          <c:val>
            <c:numRef>
              <c:f>Sheet1!$B$2:$B$5</c:f>
              <c:numCache>
                <c:formatCode>General</c:formatCode>
                <c:ptCount val="4"/>
                <c:pt idx="0">
                  <c:v>2589.16</c:v>
                </c:pt>
                <c:pt idx="1">
                  <c:v>271.39</c:v>
                </c:pt>
                <c:pt idx="2">
                  <c:v>159.08</c:v>
                </c:pt>
                <c:pt idx="3">
                  <c:v>112.13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0.13764</cdr:x>
      <cdr:y>0.87651</cdr:y>
    </cdr:from>
    <cdr:to>
      <cdr:x>0.88909</cdr:x>
      <cdr:y>0.9661</cdr:y>
    </cdr:to>
    <cdr:sp>
      <cdr:nvSpPr>
        <cdr:cNvPr id="2" name="矩形 1"/>
        <cdr:cNvSpPr/>
      </cdr:nvSpPr>
      <cdr:spPr xmlns:a="http://schemas.openxmlformats.org/drawingml/2006/main">
        <a:xfrm xmlns:a="http://schemas.openxmlformats.org/drawingml/2006/main">
          <a:off x="656811" y="2878372"/>
          <a:ext cx="3586038" cy="294198"/>
        </a:xfrm>
        <a:prstGeom xmlns:a="http://schemas.openxmlformats.org/drawingml/2006/main" prst="rect">
          <a:avLst/>
        </a:prstGeom>
        <a:noFill/>
        <a:l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pPr algn="ctr"/>
          <a:r>
            <a:rPr lang="zh-CN" altLang="en-US" sz="1400" baseline="0">
              <a:solidFill>
                <a:sysClr val="windowText" lastClr="000000"/>
              </a:solidFill>
              <a:latin typeface="楷体" panose="02010609060101010101" charset="-122"/>
              <a:ea typeface="楷体" panose="02010609060101010101" charset="-122"/>
            </a:rPr>
            <a:t>图</a:t>
          </a:r>
          <a:r>
            <a:rPr lang="en-US" altLang="zh-CN" sz="1400" baseline="0">
              <a:solidFill>
                <a:sysClr val="windowText" lastClr="000000"/>
              </a:solidFill>
              <a:latin typeface="楷体" panose="02010609060101010101" charset="-122"/>
              <a:ea typeface="楷体" panose="02010609060101010101" charset="-122"/>
            </a:rPr>
            <a:t>3</a:t>
          </a:r>
          <a:r>
            <a:rPr lang="zh-CN" altLang="en-US" sz="1400" baseline="0">
              <a:solidFill>
                <a:sysClr val="windowText" lastClr="000000"/>
              </a:solidFill>
              <a:latin typeface="楷体" panose="02010609060101010101" charset="-122"/>
              <a:ea typeface="楷体" panose="02010609060101010101" charset="-122"/>
            </a:rPr>
            <a:t>：支出决算构成情况（按支出性质）</a:t>
          </a:r>
          <a:endParaRPr lang="zh-CN" sz="1400" baseline="0">
            <a:solidFill>
              <a:sysClr val="windowText" lastClr="000000"/>
            </a:solidFill>
            <a:latin typeface="楷体" panose="02010609060101010101" charset="-122"/>
            <a:ea typeface="楷体" panose="02010609060101010101"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0.17135</cdr:x>
      <cdr:y>0.88915</cdr:y>
    </cdr:from>
    <cdr:to>
      <cdr:x>0.83138</cdr:x>
      <cdr:y>0.97921</cdr:y>
    </cdr:to>
    <cdr:sp>
      <cdr:nvSpPr>
        <cdr:cNvPr id="2" name="矩形 1"/>
        <cdr:cNvSpPr/>
      </cdr:nvSpPr>
      <cdr:spPr xmlns:a="http://schemas.openxmlformats.org/drawingml/2006/main">
        <a:xfrm xmlns:a="http://schemas.openxmlformats.org/drawingml/2006/main">
          <a:off x="935106" y="3061252"/>
          <a:ext cx="3601941" cy="310101"/>
        </a:xfrm>
        <a:prstGeom xmlns:a="http://schemas.openxmlformats.org/drawingml/2006/main" prst="rect">
          <a:avLst/>
        </a:prstGeom>
        <a:noFill/>
        <a:l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en-US" altLang="zh-CN" sz="1200" baseline="0">
              <a:solidFill>
                <a:sysClr val="windowText" lastClr="000000"/>
              </a:solidFill>
              <a:latin typeface="楷体" panose="02010609060101010101" charset="-122"/>
              <a:ea typeface="楷体" panose="02010609060101010101" charset="-122"/>
            </a:rPr>
            <a:t>2019-2020</a:t>
          </a:r>
          <a:r>
            <a:rPr lang="zh-CN" altLang="en-US" sz="1200" baseline="0">
              <a:solidFill>
                <a:sysClr val="windowText" lastClr="000000"/>
              </a:solidFill>
              <a:latin typeface="楷体" panose="02010609060101010101" charset="-122"/>
              <a:ea typeface="楷体" panose="02010609060101010101" charset="-122"/>
            </a:rPr>
            <a:t>年度财政拨款收支决算对比情况（图</a:t>
          </a:r>
          <a:r>
            <a:rPr lang="en-US" altLang="zh-CN" sz="1200" baseline="0">
              <a:solidFill>
                <a:sysClr val="windowText" lastClr="000000"/>
              </a:solidFill>
              <a:latin typeface="楷体" panose="02010609060101010101" charset="-122"/>
              <a:ea typeface="楷体" panose="02010609060101010101" charset="-122"/>
            </a:rPr>
            <a:t>4</a:t>
          </a:r>
          <a:r>
            <a:rPr lang="zh-CN" altLang="en-US" sz="1200" baseline="0">
              <a:solidFill>
                <a:sysClr val="windowText" lastClr="000000"/>
              </a:solidFill>
              <a:latin typeface="楷体" panose="02010609060101010101" charset="-122"/>
              <a:ea typeface="楷体" panose="02010609060101010101" charset="-122"/>
            </a:rPr>
            <a:t>）</a:t>
          </a:r>
          <a:endParaRPr lang="zh-CN" sz="1200" baseline="0">
            <a:solidFill>
              <a:sysClr val="windowText" lastClr="000000"/>
            </a:solidFill>
            <a:latin typeface="楷体" panose="02010609060101010101" charset="-122"/>
            <a:ea typeface="楷体" panose="02010609060101010101"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0.15134</cdr:x>
      <cdr:y>0.86638</cdr:y>
    </cdr:from>
    <cdr:to>
      <cdr:x>0.88658</cdr:x>
      <cdr:y>0.96983</cdr:y>
    </cdr:to>
    <cdr:sp>
      <cdr:nvSpPr>
        <cdr:cNvPr id="2" name="矩形 1"/>
        <cdr:cNvSpPr/>
      </cdr:nvSpPr>
      <cdr:spPr xmlns:a="http://schemas.openxmlformats.org/drawingml/2006/main">
        <a:xfrm xmlns:a="http://schemas.openxmlformats.org/drawingml/2006/main">
          <a:off x="808434" y="3198362"/>
          <a:ext cx="3927396" cy="381895"/>
        </a:xfrm>
        <a:prstGeom xmlns:a="http://schemas.openxmlformats.org/drawingml/2006/main" prst="rect">
          <a:avLst/>
        </a:prstGeom>
        <a:noFill/>
        <a:l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en-US" altLang="zh-CN" sz="1400" baseline="0">
              <a:solidFill>
                <a:sysClr val="windowText" lastClr="000000"/>
              </a:solidFill>
              <a:latin typeface="楷体" panose="02010609060101010101" charset="-122"/>
              <a:ea typeface="楷体" panose="02010609060101010101" charset="-122"/>
            </a:rPr>
            <a:t>2020</a:t>
          </a:r>
          <a:r>
            <a:rPr lang="zh-CN" altLang="en-US" sz="1400" baseline="0">
              <a:solidFill>
                <a:sysClr val="windowText" lastClr="000000"/>
              </a:solidFill>
              <a:latin typeface="楷体" panose="02010609060101010101" charset="-122"/>
              <a:ea typeface="楷体" panose="02010609060101010101" charset="-122"/>
            </a:rPr>
            <a:t>年度财政拨款收支预决算对比情况（图</a:t>
          </a:r>
          <a:r>
            <a:rPr lang="en-US" altLang="zh-CN" sz="1400" baseline="0">
              <a:solidFill>
                <a:sysClr val="windowText" lastClr="000000"/>
              </a:solidFill>
              <a:latin typeface="楷体" panose="02010609060101010101" charset="-122"/>
              <a:ea typeface="楷体" panose="02010609060101010101" charset="-122"/>
            </a:rPr>
            <a:t>5</a:t>
          </a:r>
          <a:r>
            <a:rPr lang="zh-CN" altLang="en-US" sz="1400" baseline="0">
              <a:solidFill>
                <a:sysClr val="windowText" lastClr="000000"/>
              </a:solidFill>
              <a:latin typeface="楷体" panose="02010609060101010101" charset="-122"/>
              <a:ea typeface="楷体" panose="02010609060101010101" charset="-122"/>
            </a:rPr>
            <a:t>）</a:t>
          </a:r>
          <a:endParaRPr lang="zh-CN" sz="1400" baseline="0">
            <a:solidFill>
              <a:sysClr val="windowText" lastClr="000000"/>
            </a:solidFill>
            <a:latin typeface="楷体" panose="02010609060101010101" charset="-122"/>
            <a:ea typeface="楷体" panose="02010609060101010101"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0.14855</cdr:x>
      <cdr:y>0.83379</cdr:y>
    </cdr:from>
    <cdr:to>
      <cdr:x>0.93736</cdr:x>
      <cdr:y>0.97772</cdr:y>
    </cdr:to>
    <cdr:sp>
      <cdr:nvSpPr>
        <cdr:cNvPr id="2" name="矩形 1"/>
        <cdr:cNvSpPr/>
      </cdr:nvSpPr>
      <cdr:spPr xmlns:a="http://schemas.openxmlformats.org/drawingml/2006/main">
        <a:xfrm xmlns:a="http://schemas.openxmlformats.org/drawingml/2006/main">
          <a:off x="765623" y="2671777"/>
          <a:ext cx="4065622" cy="461199"/>
        </a:xfrm>
        <a:prstGeom xmlns:a="http://schemas.openxmlformats.org/drawingml/2006/main" prst="rect">
          <a:avLst/>
        </a:prstGeom>
        <a:noFill/>
        <a:l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xmlns:a="http://schemas.openxmlformats.org/drawingml/2006/main">
        <a:bodyPr vertOverflow="clip" vert="horz" wrap="none" lIns="45720" tIns="45720" rIns="45720" bIns="45720" anchor="t" anchorCtr="0">
          <a:normAutofit/>
        </a:bodyPr>
        <a:lstStyle/>
        <a:p>
          <a:r>
            <a:rPr lang="zh-CN" altLang="en-US" sz="1400" baseline="0">
              <a:solidFill>
                <a:sysClr val="windowText" lastClr="000000"/>
              </a:solidFill>
              <a:latin typeface="楷体" panose="02010609060101010101" charset="-122"/>
              <a:ea typeface="楷体" panose="02010609060101010101" charset="-122"/>
            </a:rPr>
            <a:t>图</a:t>
          </a:r>
          <a:r>
            <a:rPr lang="en-US" altLang="zh-CN" sz="1400" baseline="0">
              <a:solidFill>
                <a:sysClr val="windowText" lastClr="000000"/>
              </a:solidFill>
              <a:latin typeface="楷体" panose="02010609060101010101" charset="-122"/>
              <a:ea typeface="楷体" panose="02010609060101010101" charset="-122"/>
            </a:rPr>
            <a:t>6</a:t>
          </a:r>
          <a:r>
            <a:rPr lang="zh-CN" altLang="en-US" sz="1400" baseline="0">
              <a:solidFill>
                <a:sysClr val="windowText" lastClr="000000"/>
              </a:solidFill>
              <a:latin typeface="楷体" panose="02010609060101010101" charset="-122"/>
              <a:ea typeface="楷体" panose="02010609060101010101" charset="-122"/>
            </a:rPr>
            <a:t>：财政拨款支出决算构成情况（按功能分类）</a:t>
          </a:r>
          <a:endParaRPr lang="zh-CN" sz="1400" baseline="0">
            <a:solidFill>
              <a:sysClr val="windowText" lastClr="000000"/>
            </a:solidFill>
            <a:latin typeface="楷体" panose="02010609060101010101" charset="-122"/>
            <a:ea typeface="楷体" panose="02010609060101010101"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41"/>
    <customShpInfo spid="_x0000_s1040"/>
    <customShpInfo spid="_x0000_s1039"/>
    <customShpInfo spid="_x0000_s1045"/>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C129B-3FE1-476F-830E-A0866FA3029D}">
  <ds:schemaRefs/>
</ds:datastoreItem>
</file>

<file path=docProps/app.xml><?xml version="1.0" encoding="utf-8"?>
<Properties xmlns="http://schemas.openxmlformats.org/officeDocument/2006/extended-properties" xmlns:vt="http://schemas.openxmlformats.org/officeDocument/2006/docPropsVTypes">
  <Template>Normal</Template>
  <Pages>32</Pages>
  <Words>8758</Words>
  <Characters>11440</Characters>
  <Lines>98</Lines>
  <Paragraphs>27</Paragraphs>
  <TotalTime>428</TotalTime>
  <ScaleCrop>false</ScaleCrop>
  <LinksUpToDate>false</LinksUpToDate>
  <CharactersWithSpaces>11499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2021-11-22T03:09:14Z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5FEA40B813454C96B0E860DF137668FC</vt:lpwstr>
  </property>
</Properties>
</file>